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2B" w:rsidRDefault="0074662B" w:rsidP="0074662B">
      <w:pPr>
        <w:pStyle w:val="Rodap"/>
        <w:tabs>
          <w:tab w:val="left" w:pos="708"/>
        </w:tabs>
        <w:jc w:val="center"/>
        <w:rPr>
          <w:rFonts w:ascii="Tahoma" w:hAnsi="Tahoma" w:cs="Tahoma"/>
          <w:b/>
          <w:color w:val="000000"/>
        </w:rPr>
      </w:pPr>
      <w:r w:rsidRPr="00E34601">
        <w:pict>
          <v:shapetype id="_x0000_t202" coordsize="21600,21600" o:spt="202" path="m,l,21600r21600,l21600,xe">
            <v:stroke joinstyle="miter"/>
            <v:path gradientshapeok="t" o:connecttype="rect"/>
          </v:shapetype>
          <v:shape id="_x0000_s1029" type="#_x0000_t202" style="position:absolute;left:0;text-align:left;margin-left:418pt;margin-top:17.2pt;width:50pt;height:27pt;z-index:251664384" filled="f" stroked="f">
            <v:textbox style="mso-next-textbox:#_x0000_s1029" inset=".5mm,.3mm,.5mm,.3mm">
              <w:txbxContent>
                <w:p w:rsidR="0074662B" w:rsidRDefault="0074662B" w:rsidP="0074662B">
                  <w:pPr>
                    <w:rPr>
                      <w:rFonts w:ascii="Monotype Corsiva" w:hAnsi="Monotype Corsiva"/>
                      <w:b/>
                      <w:bCs/>
                      <w:shadow/>
                      <w:color w:val="808080"/>
                      <w:sz w:val="48"/>
                    </w:rPr>
                  </w:pPr>
                  <w:proofErr w:type="gramStart"/>
                  <w:r>
                    <w:rPr>
                      <w:rFonts w:ascii="Monotype Corsiva" w:hAnsi="Monotype Corsiva"/>
                      <w:b/>
                      <w:bCs/>
                      <w:shadow/>
                      <w:color w:val="808080"/>
                      <w:sz w:val="50"/>
                    </w:rPr>
                    <w:t>anos</w:t>
                  </w:r>
                  <w:proofErr w:type="gramEnd"/>
                </w:p>
              </w:txbxContent>
            </v:textbox>
            <w10:wrap anchorx="page"/>
          </v:shape>
        </w:pict>
      </w:r>
      <w:r w:rsidRPr="00E34601">
        <w:pict>
          <v:shape id="_x0000_s1028" type="#_x0000_t202" style="position:absolute;left:0;text-align:left;margin-left:422pt;margin-top:-6.8pt;width:45pt;height:36pt;z-index:251663360" filled="f" stroked="f">
            <v:textbox style="mso-next-textbox:#_x0000_s1028" inset=".5mm,.3mm,.5mm,.3mm">
              <w:txbxContent>
                <w:p w:rsidR="0074662B" w:rsidRDefault="0074662B" w:rsidP="0074662B">
                  <w:pPr>
                    <w:rPr>
                      <w:rFonts w:ascii="Monotype Corsiva" w:hAnsi="Monotype Corsiva"/>
                      <w:b/>
                      <w:bCs/>
                      <w:shadow/>
                      <w:color w:val="808080"/>
                      <w:sz w:val="48"/>
                    </w:rPr>
                  </w:pPr>
                  <w:r>
                    <w:rPr>
                      <w:rFonts w:ascii="Monotype Corsiva" w:hAnsi="Monotype Corsiva"/>
                      <w:b/>
                      <w:bCs/>
                      <w:shadow/>
                      <w:color w:val="808080"/>
                      <w:sz w:val="48"/>
                    </w:rPr>
                    <w:t>23</w:t>
                  </w:r>
                </w:p>
              </w:txbxContent>
            </v:textbox>
            <w10:wrap anchorx="page"/>
          </v:shape>
        </w:pict>
      </w:r>
      <w:r>
        <w:rPr>
          <w:rFonts w:ascii="Tahoma" w:hAnsi="Tahoma" w:cs="Tahoma"/>
          <w:noProof/>
          <w:color w:val="000000"/>
        </w:rPr>
        <w:drawing>
          <wp:inline distT="0" distB="0" distL="0" distR="0">
            <wp:extent cx="438150" cy="48577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74662B" w:rsidRDefault="0074662B" w:rsidP="0074662B">
      <w:pPr>
        <w:spacing w:after="0" w:line="240" w:lineRule="auto"/>
        <w:jc w:val="center"/>
        <w:rPr>
          <w:rFonts w:ascii="Tahoma" w:hAnsi="Tahoma" w:cs="Tahoma"/>
          <w:b/>
          <w:color w:val="000000"/>
        </w:rPr>
      </w:pPr>
      <w:r>
        <w:rPr>
          <w:rFonts w:ascii="Tahoma" w:hAnsi="Tahoma" w:cs="Tahoma"/>
          <w:b/>
          <w:color w:val="000000"/>
          <w:sz w:val="32"/>
        </w:rPr>
        <w:t>Universidade Federal do Amapá</w:t>
      </w:r>
    </w:p>
    <w:p w:rsidR="0074662B" w:rsidRDefault="0074662B" w:rsidP="0074662B">
      <w:pPr>
        <w:spacing w:after="0" w:line="240" w:lineRule="auto"/>
        <w:jc w:val="center"/>
        <w:rPr>
          <w:rFonts w:ascii="Tahoma" w:hAnsi="Tahoma" w:cs="Tahoma"/>
          <w:b/>
          <w:color w:val="000000"/>
          <w:sz w:val="32"/>
        </w:rPr>
      </w:pPr>
      <w:r>
        <w:rPr>
          <w:rFonts w:ascii="Tahoma" w:hAnsi="Tahoma" w:cs="Tahoma"/>
          <w:b/>
          <w:color w:val="000000"/>
          <w:sz w:val="32"/>
        </w:rPr>
        <w:t>PROGEP</w:t>
      </w:r>
    </w:p>
    <w:p w:rsidR="0074662B" w:rsidRDefault="0074662B" w:rsidP="0074662B">
      <w:pPr>
        <w:spacing w:after="0" w:line="240" w:lineRule="auto"/>
        <w:jc w:val="center"/>
        <w:rPr>
          <w:rFonts w:ascii="Tahoma" w:hAnsi="Tahoma" w:cs="Tahoma"/>
          <w:color w:val="000000"/>
          <w:sz w:val="14"/>
        </w:rPr>
      </w:pPr>
      <w:r>
        <w:rPr>
          <w:rFonts w:ascii="Tahoma" w:hAnsi="Tahoma" w:cs="Tahoma"/>
          <w:color w:val="000000"/>
          <w:sz w:val="14"/>
        </w:rPr>
        <w:t xml:space="preserve">Rod. Juscelino K. </w:t>
      </w:r>
      <w:proofErr w:type="gramStart"/>
      <w:r>
        <w:rPr>
          <w:rFonts w:ascii="Tahoma" w:hAnsi="Tahoma" w:cs="Tahoma"/>
          <w:color w:val="000000"/>
          <w:sz w:val="14"/>
        </w:rPr>
        <w:t>de</w:t>
      </w:r>
      <w:proofErr w:type="gramEnd"/>
      <w:r>
        <w:rPr>
          <w:rFonts w:ascii="Tahoma" w:hAnsi="Tahoma" w:cs="Tahoma"/>
          <w:color w:val="000000"/>
          <w:sz w:val="14"/>
        </w:rPr>
        <w:t xml:space="preserve"> Oliveira, km 02 -</w:t>
      </w:r>
      <w:r>
        <w:rPr>
          <w:rFonts w:ascii="Tahoma" w:hAnsi="Tahoma" w:cs="Tahoma"/>
          <w:color w:val="000000"/>
          <w:sz w:val="14"/>
        </w:rPr>
        <w:t xml:space="preserve"> Campus Marco Zero do Equador</w:t>
      </w:r>
    </w:p>
    <w:p w:rsidR="0074662B" w:rsidRDefault="0074662B" w:rsidP="0074662B">
      <w:pPr>
        <w:spacing w:after="0" w:line="240" w:lineRule="auto"/>
        <w:jc w:val="center"/>
        <w:rPr>
          <w:rFonts w:ascii="Tahoma" w:hAnsi="Tahoma" w:cs="Tahoma"/>
          <w:b/>
          <w:color w:val="000000"/>
          <w:sz w:val="14"/>
        </w:rPr>
      </w:pPr>
      <w:r>
        <w:rPr>
          <w:rFonts w:ascii="Tahoma" w:hAnsi="Tahoma" w:cs="Tahoma"/>
          <w:color w:val="000000"/>
          <w:sz w:val="14"/>
        </w:rPr>
        <w:t xml:space="preserve">Caixa Postal 261 - Macapá - Amapá - </w:t>
      </w:r>
      <w:proofErr w:type="spellStart"/>
      <w:r>
        <w:rPr>
          <w:rFonts w:ascii="Tahoma" w:hAnsi="Tahoma" w:cs="Tahoma"/>
          <w:color w:val="000000"/>
          <w:sz w:val="14"/>
        </w:rPr>
        <w:t>C.E.P.</w:t>
      </w:r>
      <w:proofErr w:type="spellEnd"/>
      <w:r>
        <w:rPr>
          <w:rFonts w:ascii="Tahoma" w:hAnsi="Tahoma" w:cs="Tahoma"/>
          <w:color w:val="000000"/>
          <w:sz w:val="14"/>
        </w:rPr>
        <w:t xml:space="preserve"> 68.906-970</w:t>
      </w:r>
    </w:p>
    <w:p w:rsidR="0074662B" w:rsidRDefault="0074662B" w:rsidP="0074662B">
      <w:pPr>
        <w:spacing w:after="0" w:line="240" w:lineRule="auto"/>
        <w:jc w:val="center"/>
        <w:rPr>
          <w:rFonts w:ascii="Tahoma" w:hAnsi="Tahoma" w:cs="Tahoma"/>
          <w:b/>
          <w:color w:val="000000"/>
          <w:sz w:val="14"/>
        </w:rPr>
      </w:pPr>
      <w:r>
        <w:rPr>
          <w:rFonts w:ascii="Tahoma" w:hAnsi="Tahoma" w:cs="Tahoma"/>
          <w:color w:val="000000"/>
          <w:sz w:val="14"/>
        </w:rPr>
        <w:t>Fone: (096) 3312-17</w:t>
      </w:r>
      <w:r>
        <w:rPr>
          <w:rFonts w:ascii="Tahoma" w:hAnsi="Tahoma" w:cs="Tahoma"/>
          <w:color w:val="000000"/>
          <w:sz w:val="14"/>
        </w:rPr>
        <w:t>30</w:t>
      </w:r>
    </w:p>
    <w:p w:rsidR="00A94A37" w:rsidRPr="00664BD7" w:rsidRDefault="00A94A37" w:rsidP="00E72373">
      <w:pPr>
        <w:jc w:val="center"/>
        <w:rPr>
          <w:b/>
          <w:sz w:val="2"/>
          <w:szCs w:val="2"/>
        </w:rPr>
      </w:pPr>
    </w:p>
    <w:p w:rsidR="00131B7F" w:rsidRPr="00131B7F" w:rsidRDefault="00131B7F" w:rsidP="00E72373">
      <w:pPr>
        <w:jc w:val="center"/>
        <w:rPr>
          <w:b/>
          <w:sz w:val="28"/>
          <w:szCs w:val="28"/>
        </w:rPr>
      </w:pPr>
      <w:r w:rsidRPr="00131B7F">
        <w:rPr>
          <w:b/>
          <w:sz w:val="28"/>
          <w:szCs w:val="28"/>
        </w:rPr>
        <w:t>NORMA INTERNA Nº 001/2014</w:t>
      </w:r>
    </w:p>
    <w:p w:rsidR="00E7188D" w:rsidRPr="00131B7F" w:rsidRDefault="004C0362" w:rsidP="00E72373">
      <w:pPr>
        <w:jc w:val="center"/>
        <w:rPr>
          <w:b/>
          <w:sz w:val="24"/>
          <w:szCs w:val="24"/>
        </w:rPr>
      </w:pPr>
      <w:r w:rsidRPr="00131B7F">
        <w:rPr>
          <w:b/>
          <w:sz w:val="24"/>
          <w:szCs w:val="24"/>
        </w:rPr>
        <w:t>CONCESSÃO DE DIÁRIAS E PASSAGENS</w:t>
      </w:r>
      <w:r w:rsidR="00F94159" w:rsidRPr="00131B7F">
        <w:rPr>
          <w:b/>
          <w:sz w:val="24"/>
          <w:szCs w:val="24"/>
        </w:rPr>
        <w:t xml:space="preserve"> </w:t>
      </w:r>
      <w:r w:rsidR="002B7C0D" w:rsidRPr="00131B7F">
        <w:rPr>
          <w:b/>
          <w:sz w:val="24"/>
          <w:szCs w:val="24"/>
        </w:rPr>
        <w:t>–</w:t>
      </w:r>
      <w:r w:rsidR="00F94159" w:rsidRPr="00131B7F">
        <w:rPr>
          <w:b/>
          <w:sz w:val="24"/>
          <w:szCs w:val="24"/>
        </w:rPr>
        <w:t xml:space="preserve"> UNIFAP</w:t>
      </w:r>
    </w:p>
    <w:p w:rsidR="002B7C0D" w:rsidRDefault="002B7C0D" w:rsidP="002B7C0D">
      <w:pPr>
        <w:jc w:val="both"/>
      </w:pPr>
      <w:r>
        <w:rPr>
          <w:b/>
        </w:rPr>
        <w:tab/>
      </w:r>
      <w:r>
        <w:t>Para fins desta Norma Interna considera-se:</w:t>
      </w:r>
    </w:p>
    <w:p w:rsidR="00421110" w:rsidRDefault="000E6607" w:rsidP="002B7C0D">
      <w:pPr>
        <w:jc w:val="both"/>
      </w:pPr>
      <w:r>
        <w:tab/>
        <w:t>I – SCDP = Sistema de Concessão de Diárias e Passagens;</w:t>
      </w:r>
    </w:p>
    <w:p w:rsidR="000E6607" w:rsidRDefault="000E6607" w:rsidP="002B7C0D">
      <w:pPr>
        <w:jc w:val="both"/>
      </w:pPr>
      <w:r>
        <w:tab/>
        <w:t xml:space="preserve">II – Proposto = </w:t>
      </w:r>
      <w:r w:rsidR="00AC74E4">
        <w:t xml:space="preserve">pessoa física </w:t>
      </w:r>
      <w:r w:rsidR="005A094D">
        <w:t>que no interesse ou a serviço da administração é indenizada com</w:t>
      </w:r>
      <w:r w:rsidR="00715A24">
        <w:t xml:space="preserve"> diárias e</w:t>
      </w:r>
      <w:r w:rsidR="00AC74E4">
        <w:t xml:space="preserve"> passagens </w:t>
      </w:r>
      <w:r w:rsidR="00E64BCE">
        <w:t xml:space="preserve">em virtude de seu deslocamento </w:t>
      </w:r>
      <w:r w:rsidR="00AC74E4">
        <w:t xml:space="preserve">ou </w:t>
      </w:r>
      <w:r w:rsidR="00E64BCE">
        <w:t xml:space="preserve">é </w:t>
      </w:r>
      <w:r w:rsidR="00AC74E4">
        <w:t>simplesmente autoriza</w:t>
      </w:r>
      <w:r w:rsidR="005A094D">
        <w:t>da</w:t>
      </w:r>
      <w:r w:rsidR="00AC74E4">
        <w:t xml:space="preserve"> </w:t>
      </w:r>
      <w:r w:rsidR="00CC4BB8">
        <w:t>a</w:t>
      </w:r>
      <w:r w:rsidR="00AC74E4">
        <w:t xml:space="preserve"> ausentar-se da sede</w:t>
      </w:r>
      <w:r w:rsidR="00433FD0">
        <w:t>,</w:t>
      </w:r>
      <w:r w:rsidR="00AC74E4">
        <w:t xml:space="preserve"> no caso de servidor;</w:t>
      </w:r>
    </w:p>
    <w:p w:rsidR="00755F8B" w:rsidRDefault="00755F8B" w:rsidP="002B7C0D">
      <w:pPr>
        <w:jc w:val="both"/>
      </w:pPr>
      <w:r>
        <w:tab/>
        <w:t>III – Sol</w:t>
      </w:r>
      <w:r w:rsidR="00E82621">
        <w:t>i</w:t>
      </w:r>
      <w:r>
        <w:t xml:space="preserve">citante = </w:t>
      </w:r>
      <w:r w:rsidR="00E82621">
        <w:t xml:space="preserve">servidor </w:t>
      </w:r>
      <w:r w:rsidR="00A97500">
        <w:t xml:space="preserve">efetivo </w:t>
      </w:r>
      <w:r w:rsidR="00E82621">
        <w:t xml:space="preserve">cadastrado com perfil </w:t>
      </w:r>
      <w:r w:rsidR="00C6127D">
        <w:t>de usuário que insere no mesmo SCDP</w:t>
      </w:r>
      <w:r w:rsidR="00E82621">
        <w:t xml:space="preserve"> as solicitações de diárias, passagens e deslocamentos;</w:t>
      </w:r>
    </w:p>
    <w:p w:rsidR="00ED3EA3" w:rsidRDefault="00ED3EA3" w:rsidP="002B7C0D">
      <w:pPr>
        <w:jc w:val="both"/>
      </w:pPr>
      <w:r>
        <w:tab/>
        <w:t xml:space="preserve">IV – Solicitante de Passagens = servidor efetivo cadastrado com perfil de usuário que visualiza as solicitações de diárias e passagens, fazendo contato com a agência para solicitar cotações, opções de preços, horários e </w:t>
      </w:r>
      <w:proofErr w:type="spellStart"/>
      <w:r>
        <w:t>voos</w:t>
      </w:r>
      <w:proofErr w:type="spellEnd"/>
      <w:r>
        <w:t>, emissões, cancelamentos, reembolsos e alterações;</w:t>
      </w:r>
    </w:p>
    <w:p w:rsidR="00755F8B" w:rsidRDefault="00011953" w:rsidP="002B7C0D">
      <w:pPr>
        <w:jc w:val="both"/>
      </w:pPr>
      <w:r>
        <w:tab/>
      </w:r>
      <w:r w:rsidR="00755F8B">
        <w:t xml:space="preserve">V – Autoridade Superior = </w:t>
      </w:r>
      <w:r w:rsidR="006E7BEC">
        <w:t>autoridade superior do órgão, Reitor;</w:t>
      </w:r>
    </w:p>
    <w:p w:rsidR="00E64BCE" w:rsidRDefault="002B7C0D" w:rsidP="0084412A">
      <w:pPr>
        <w:jc w:val="both"/>
      </w:pPr>
      <w:r>
        <w:tab/>
      </w:r>
      <w:r w:rsidR="00764E2D">
        <w:t>V</w:t>
      </w:r>
      <w:r w:rsidR="00011953">
        <w:t>I</w:t>
      </w:r>
      <w:r w:rsidR="00764E2D">
        <w:t xml:space="preserve"> – Proponente =</w:t>
      </w:r>
      <w:r w:rsidR="006E7BEC">
        <w:t xml:space="preserve"> autoridade responsável pela indicação do Proposto e pela análise da pertinência do compromisso, evento ou m</w:t>
      </w:r>
      <w:r w:rsidR="00B242AD">
        <w:t>issão; Pró-Reitores e Diretores;</w:t>
      </w:r>
    </w:p>
    <w:p w:rsidR="00B242AD" w:rsidRDefault="00B242AD" w:rsidP="0084412A">
      <w:pPr>
        <w:jc w:val="both"/>
      </w:pPr>
      <w:r>
        <w:tab/>
        <w:t>VI</w:t>
      </w:r>
      <w:r w:rsidR="00011953">
        <w:t>I</w:t>
      </w:r>
      <w:r>
        <w:t xml:space="preserve"> – Colaborador Eventual: pessoa física </w:t>
      </w:r>
      <w:r w:rsidR="00E64BCE">
        <w:t xml:space="preserve">sem vínculo efetivo com a administração </w:t>
      </w:r>
      <w:r>
        <w:t>que no interesse ou a serviço d</w:t>
      </w:r>
      <w:r w:rsidR="00E64BCE">
        <w:t>ela</w:t>
      </w:r>
      <w:r>
        <w:t xml:space="preserve"> é indenizada com diárias e passagens em virtude de seu desloc</w:t>
      </w:r>
      <w:r w:rsidR="00E64BCE">
        <w:t>a</w:t>
      </w:r>
      <w:r>
        <w:t>mento;</w:t>
      </w:r>
    </w:p>
    <w:p w:rsidR="006F5743" w:rsidRDefault="006F5743" w:rsidP="006F5743">
      <w:pPr>
        <w:ind w:firstLine="708"/>
        <w:jc w:val="both"/>
      </w:pPr>
      <w:r>
        <w:t>VII</w:t>
      </w:r>
      <w:r w:rsidR="00011953">
        <w:t>I</w:t>
      </w:r>
      <w:r>
        <w:t xml:space="preserve"> – Convidado: </w:t>
      </w:r>
      <w:r w:rsidR="00D47104">
        <w:t>pessoa física com vínculo efetivo com outro órgão federal que no interesse ou a serviço da administração é indenizada com diárias e passagens em virtude de seu deslocamento;</w:t>
      </w:r>
    </w:p>
    <w:p w:rsidR="0084412A" w:rsidRDefault="00011953" w:rsidP="00DE7267">
      <w:pPr>
        <w:ind w:firstLine="708"/>
        <w:jc w:val="both"/>
      </w:pPr>
      <w:r>
        <w:t>IX</w:t>
      </w:r>
      <w:r w:rsidR="00D47104">
        <w:t xml:space="preserve"> – SEPE: Servidores de outras esferas</w:t>
      </w:r>
      <w:r w:rsidR="00D0748B">
        <w:t xml:space="preserve"> (legislativo ou judiciário)</w:t>
      </w:r>
      <w:r w:rsidR="00D47104">
        <w:t xml:space="preserve"> ou poderes</w:t>
      </w:r>
      <w:r w:rsidR="00D0748B">
        <w:t xml:space="preserve"> (</w:t>
      </w:r>
      <w:proofErr w:type="gramStart"/>
      <w:r w:rsidR="00D0748B">
        <w:t>estadual, municipal</w:t>
      </w:r>
      <w:proofErr w:type="gramEnd"/>
      <w:r w:rsidR="00D0748B">
        <w:t xml:space="preserve"> ou Distrito Federal)</w:t>
      </w:r>
      <w:r w:rsidR="00D47104">
        <w:t>.</w:t>
      </w:r>
    </w:p>
    <w:p w:rsidR="00DE7267" w:rsidRDefault="00DE7267" w:rsidP="0084412A">
      <w:pPr>
        <w:spacing w:after="0"/>
        <w:jc w:val="both"/>
        <w:rPr>
          <w:u w:val="single"/>
        </w:rPr>
      </w:pPr>
    </w:p>
    <w:p w:rsidR="00456570" w:rsidRPr="005B10C5" w:rsidRDefault="002537B4" w:rsidP="0084412A">
      <w:pPr>
        <w:jc w:val="both"/>
        <w:rPr>
          <w:u w:val="single"/>
        </w:rPr>
      </w:pPr>
      <w:r w:rsidRPr="005B10C5">
        <w:rPr>
          <w:u w:val="single"/>
        </w:rPr>
        <w:t>DAS SOLICITAÇÕES</w:t>
      </w:r>
    </w:p>
    <w:p w:rsidR="005B10C5" w:rsidRDefault="00AE4018" w:rsidP="0084412A">
      <w:pPr>
        <w:pStyle w:val="PargrafodaLista"/>
        <w:numPr>
          <w:ilvl w:val="0"/>
          <w:numId w:val="5"/>
        </w:numPr>
        <w:jc w:val="both"/>
      </w:pPr>
      <w:r>
        <w:t>É</w:t>
      </w:r>
      <w:r w:rsidR="005B10C5">
        <w:t xml:space="preserve"> obrigatória </w:t>
      </w:r>
      <w:r>
        <w:t xml:space="preserve">a inclusão </w:t>
      </w:r>
      <w:r w:rsidR="005B10C5">
        <w:t>de</w:t>
      </w:r>
      <w:r w:rsidR="00B40C7D">
        <w:t xml:space="preserve"> todas as viagens dos P</w:t>
      </w:r>
      <w:r w:rsidR="00D37967">
        <w:t>ropostos servidores</w:t>
      </w:r>
      <w:r w:rsidR="006E0183">
        <w:t>, sejam</w:t>
      </w:r>
      <w:r w:rsidR="005B10C5">
        <w:t xml:space="preserve"> elas com ônus, com ônus limitado ou sem ônus a esta IFES, </w:t>
      </w:r>
      <w:r w:rsidR="00D769F4">
        <w:t>se dispensando</w:t>
      </w:r>
      <w:r w:rsidR="005B10C5">
        <w:t xml:space="preserve"> assim a emissão de portarias</w:t>
      </w:r>
      <w:r w:rsidR="00D769F4">
        <w:t>, sendo a solicitação eletrônica</w:t>
      </w:r>
      <w:r w:rsidR="000B07D7">
        <w:t xml:space="preserve"> no SCDP</w:t>
      </w:r>
      <w:r w:rsidR="00D769F4">
        <w:t xml:space="preserve"> suficiente para dar validade jurídica ao ato, conforme </w:t>
      </w:r>
      <w:r w:rsidR="004B2745">
        <w:t>dispõe o</w:t>
      </w:r>
      <w:r w:rsidR="00D769F4">
        <w:t xml:space="preserve"> Art. 1º e Art. 3º da Portaria 505/2009-MP</w:t>
      </w:r>
      <w:r w:rsidR="00E604FF">
        <w:t xml:space="preserve"> e a</w:t>
      </w:r>
      <w:r w:rsidR="004B2745" w:rsidRPr="004B2745">
        <w:t xml:space="preserve"> </w:t>
      </w:r>
      <w:proofErr w:type="spellStart"/>
      <w:r w:rsidR="004B2745">
        <w:t>M</w:t>
      </w:r>
      <w:r w:rsidR="00E604FF">
        <w:t>.</w:t>
      </w:r>
      <w:r w:rsidR="004B2745">
        <w:t>P</w:t>
      </w:r>
      <w:r w:rsidR="00E604FF">
        <w:t>.</w:t>
      </w:r>
      <w:proofErr w:type="spellEnd"/>
      <w:r w:rsidR="004B2745">
        <w:t xml:space="preserve"> 2.200-2/2001</w:t>
      </w:r>
      <w:r w:rsidR="005B10C5">
        <w:t>:</w:t>
      </w:r>
    </w:p>
    <w:p w:rsidR="005B10C5" w:rsidRDefault="005B10C5" w:rsidP="005B10C5">
      <w:pPr>
        <w:pStyle w:val="PargrafodaLista"/>
        <w:jc w:val="both"/>
      </w:pPr>
      <w:r w:rsidRPr="00421110">
        <w:t>I – Com ônus:</w:t>
      </w:r>
      <w:r>
        <w:t xml:space="preserve"> ocorre o pagamento de diárias e/ou passagens e, ainda, </w:t>
      </w:r>
      <w:r w:rsidR="007F4C53">
        <w:t>d</w:t>
      </w:r>
      <w:r>
        <w:t>os dias normais de trabalho;</w:t>
      </w:r>
    </w:p>
    <w:p w:rsidR="002537B4" w:rsidRDefault="005B10C5" w:rsidP="005B10C5">
      <w:pPr>
        <w:pStyle w:val="PargrafodaLista"/>
        <w:jc w:val="both"/>
      </w:pPr>
      <w:r w:rsidRPr="00421110">
        <w:t>II – Com ônus limitado:</w:t>
      </w:r>
      <w:r>
        <w:t xml:space="preserve"> ocorre o pagamento dos dias de trabalho</w:t>
      </w:r>
      <w:r w:rsidR="007F4C53">
        <w:t xml:space="preserve"> normalmente, mas não de diárias e passagens</w:t>
      </w:r>
      <w:r>
        <w:t>;</w:t>
      </w:r>
    </w:p>
    <w:p w:rsidR="005B10C5" w:rsidRDefault="005B10C5" w:rsidP="005B10C5">
      <w:pPr>
        <w:pStyle w:val="PargrafodaLista"/>
        <w:jc w:val="both"/>
      </w:pPr>
      <w:r w:rsidRPr="00421110">
        <w:lastRenderedPageBreak/>
        <w:t>III – Sem ônus:</w:t>
      </w:r>
      <w:r>
        <w:t xml:space="preserve"> não há pagamento de diárias, nem passagens, nem dos dias de trabalho, tendo em vista que o deslocamento apesar de autorizado não é do interesse da administração.</w:t>
      </w:r>
    </w:p>
    <w:p w:rsidR="005B10C5" w:rsidRDefault="00AE4018" w:rsidP="005B10C5">
      <w:pPr>
        <w:pStyle w:val="PargrafodaLista"/>
        <w:numPr>
          <w:ilvl w:val="0"/>
          <w:numId w:val="5"/>
        </w:numPr>
        <w:jc w:val="both"/>
      </w:pPr>
      <w:r>
        <w:t>É p</w:t>
      </w:r>
      <w:r w:rsidR="00556902">
        <w:t>roibi</w:t>
      </w:r>
      <w:r>
        <w:t xml:space="preserve">da </w:t>
      </w:r>
      <w:r w:rsidR="00556902">
        <w:t xml:space="preserve">a inclusão de solicitação de passagens aéreas e pagamento de diárias em data posterior à do início do deslocamento, conforme </w:t>
      </w:r>
      <w:r w:rsidR="00620AD6">
        <w:t xml:space="preserve">dispõe o </w:t>
      </w:r>
      <w:r w:rsidR="00556902">
        <w:t xml:space="preserve">Acórdão TCU 1151/2007-Plenário e </w:t>
      </w:r>
      <w:r w:rsidR="00620AD6">
        <w:t xml:space="preserve">o </w:t>
      </w:r>
      <w:r w:rsidR="00556902">
        <w:t>Art. 5º</w:t>
      </w:r>
      <w:r w:rsidR="00620AD6">
        <w:t xml:space="preserve"> do</w:t>
      </w:r>
      <w:r w:rsidR="00556902">
        <w:t xml:space="preserve"> Dec. 5.992/2006;</w:t>
      </w:r>
    </w:p>
    <w:p w:rsidR="00556902" w:rsidRDefault="00216B1B" w:rsidP="005B10C5">
      <w:pPr>
        <w:pStyle w:val="PargrafodaLista"/>
        <w:numPr>
          <w:ilvl w:val="0"/>
          <w:numId w:val="5"/>
        </w:numPr>
        <w:jc w:val="both"/>
      </w:pPr>
      <w:r>
        <w:t>N</w:t>
      </w:r>
      <w:r w:rsidR="005E3810">
        <w:t xml:space="preserve">ão </w:t>
      </w:r>
      <w:r>
        <w:t xml:space="preserve">haverá </w:t>
      </w:r>
      <w:r w:rsidR="005E3810">
        <w:t xml:space="preserve">pagamento ou </w:t>
      </w:r>
      <w:r>
        <w:t>será feito</w:t>
      </w:r>
      <w:r w:rsidR="005E3810">
        <w:t xml:space="preserve"> pagamento parcial de diárias ao </w:t>
      </w:r>
      <w:r w:rsidR="00B40C7D">
        <w:t>P</w:t>
      </w:r>
      <w:r w:rsidR="00EA57ED">
        <w:t>roposto</w:t>
      </w:r>
      <w:r w:rsidR="005E3810">
        <w:t xml:space="preserve"> que em deslocamento receber no evento, missão ou compromisso hospedagem, alimentação e/ou transporte, conforme</w:t>
      </w:r>
      <w:r w:rsidR="00A64607">
        <w:t xml:space="preserve"> dispõem</w:t>
      </w:r>
      <w:r w:rsidR="005E3810">
        <w:t xml:space="preserve"> </w:t>
      </w:r>
      <w:r w:rsidR="00A64607">
        <w:t xml:space="preserve">os </w:t>
      </w:r>
      <w:proofErr w:type="spellStart"/>
      <w:r w:rsidR="00735B2F">
        <w:t>Arts</w:t>
      </w:r>
      <w:proofErr w:type="spellEnd"/>
      <w:r w:rsidR="00735B2F">
        <w:t>. 19 e 22 do</w:t>
      </w:r>
      <w:r w:rsidR="005E3810">
        <w:t xml:space="preserve"> Dec. 4.307/2002</w:t>
      </w:r>
      <w:r w:rsidR="00E95394">
        <w:t>;</w:t>
      </w:r>
    </w:p>
    <w:p w:rsidR="00EA57ED" w:rsidRDefault="00E860E1" w:rsidP="005B10C5">
      <w:pPr>
        <w:pStyle w:val="PargrafodaLista"/>
        <w:numPr>
          <w:ilvl w:val="0"/>
          <w:numId w:val="5"/>
        </w:numPr>
        <w:jc w:val="both"/>
      </w:pPr>
      <w:r>
        <w:t xml:space="preserve">É proibida </w:t>
      </w:r>
      <w:r w:rsidR="00EA57ED">
        <w:t xml:space="preserve">a concessão de passagens e diárias a </w:t>
      </w:r>
      <w:r w:rsidR="000C07AA">
        <w:t>P</w:t>
      </w:r>
      <w:r w:rsidR="00EA57ED">
        <w:t>roposto que participar de evento, missão ou compromis</w:t>
      </w:r>
      <w:r w:rsidR="00402E89">
        <w:t xml:space="preserve">so em que não </w:t>
      </w:r>
      <w:proofErr w:type="gramStart"/>
      <w:r w:rsidR="00402E89">
        <w:t>haja expressa</w:t>
      </w:r>
      <w:proofErr w:type="gramEnd"/>
      <w:r w:rsidR="00EA57ED">
        <w:t xml:space="preserve"> e diretamente o interesse da administração, conforme </w:t>
      </w:r>
      <w:r w:rsidR="00450786">
        <w:t xml:space="preserve">dispõe o </w:t>
      </w:r>
      <w:r w:rsidR="00EA57ED">
        <w:t>Acórdão TCU 2789/2009-Plenário;</w:t>
      </w:r>
    </w:p>
    <w:p w:rsidR="0082408F" w:rsidRDefault="00B77C06" w:rsidP="005B10C5">
      <w:pPr>
        <w:pStyle w:val="PargrafodaLista"/>
        <w:numPr>
          <w:ilvl w:val="0"/>
          <w:numId w:val="5"/>
        </w:numPr>
        <w:jc w:val="both"/>
      </w:pPr>
      <w:r>
        <w:t xml:space="preserve">É obrigatória </w:t>
      </w:r>
      <w:r w:rsidR="00EE5075">
        <w:t>a anexação na solicitação</w:t>
      </w:r>
      <w:r w:rsidR="00D10758">
        <w:t xml:space="preserve"> de diárias e/ou passagens</w:t>
      </w:r>
      <w:r w:rsidR="00EE5075">
        <w:t xml:space="preserve"> de convites, folders ou quaisquer outros documentos que comprovem a existência do evento, compromisso ou missão</w:t>
      </w:r>
      <w:r w:rsidR="0079489B">
        <w:t xml:space="preserve">, conforme </w:t>
      </w:r>
      <w:r w:rsidR="00D978BC">
        <w:t xml:space="preserve">dispõe o </w:t>
      </w:r>
      <w:r w:rsidR="0079489B">
        <w:t>Acórdão TCU 5894/2009-2º Câmara</w:t>
      </w:r>
      <w:r w:rsidR="0082408F">
        <w:t>;</w:t>
      </w:r>
    </w:p>
    <w:p w:rsidR="0082408F" w:rsidRDefault="0082408F" w:rsidP="005B10C5">
      <w:pPr>
        <w:pStyle w:val="PargrafodaLista"/>
        <w:numPr>
          <w:ilvl w:val="0"/>
          <w:numId w:val="5"/>
        </w:numPr>
        <w:jc w:val="both"/>
      </w:pPr>
      <w:r>
        <w:t xml:space="preserve">Sugestão de </w:t>
      </w:r>
      <w:proofErr w:type="spellStart"/>
      <w:r>
        <w:t>voos</w:t>
      </w:r>
      <w:proofErr w:type="spellEnd"/>
      <w:r>
        <w:t xml:space="preserve"> e/ou horários das viagens:</w:t>
      </w:r>
    </w:p>
    <w:p w:rsidR="0082408F" w:rsidRDefault="0082408F" w:rsidP="0082408F">
      <w:pPr>
        <w:pStyle w:val="PargrafodaLista"/>
        <w:jc w:val="both"/>
      </w:pPr>
      <w:r>
        <w:t>I - Priorizar horários de embarque e desembarque entre 07 (sete) e 21 (vinte e uma) horas;</w:t>
      </w:r>
    </w:p>
    <w:p w:rsidR="0082408F" w:rsidRDefault="0082408F" w:rsidP="0082408F">
      <w:pPr>
        <w:pStyle w:val="PargrafodaLista"/>
        <w:jc w:val="both"/>
      </w:pPr>
      <w:r>
        <w:t xml:space="preserve">II – Desembarque </w:t>
      </w:r>
      <w:r w:rsidR="00A05E70">
        <w:t xml:space="preserve">na ida </w:t>
      </w:r>
      <w:r>
        <w:t>com antecedência de no mínimo 03 (três) horas antes do evento</w:t>
      </w:r>
      <w:r w:rsidR="00A05E70">
        <w:t>, compromisso ou missão</w:t>
      </w:r>
      <w:r>
        <w:t>;</w:t>
      </w:r>
    </w:p>
    <w:p w:rsidR="0082408F" w:rsidRDefault="0082408F" w:rsidP="0082408F">
      <w:pPr>
        <w:pStyle w:val="PargrafodaLista"/>
        <w:jc w:val="both"/>
      </w:pPr>
      <w:r>
        <w:t>III – Em viagens com longos trajetos a realização d</w:t>
      </w:r>
      <w:r w:rsidR="003644E4">
        <w:t>everá ser feita com 01 (um) dia</w:t>
      </w:r>
      <w:r>
        <w:t xml:space="preserve"> de antecedência</w:t>
      </w:r>
      <w:r w:rsidR="003644E4">
        <w:t>,</w:t>
      </w:r>
      <w:r>
        <w:t xml:space="preserve"> iniciando de preferência pela manhã;</w:t>
      </w:r>
    </w:p>
    <w:p w:rsidR="0082408F" w:rsidRDefault="0082408F" w:rsidP="0082408F">
      <w:pPr>
        <w:pStyle w:val="PargrafodaLista"/>
        <w:jc w:val="both"/>
      </w:pPr>
      <w:r>
        <w:t xml:space="preserve">IV – As sugestões de </w:t>
      </w:r>
      <w:proofErr w:type="spellStart"/>
      <w:r>
        <w:t>voos</w:t>
      </w:r>
      <w:proofErr w:type="spellEnd"/>
      <w:r>
        <w:t xml:space="preserve"> e/ou horários devem ser claras e devem visar à economicidade e a preservação da capacidade </w:t>
      </w:r>
      <w:proofErr w:type="spellStart"/>
      <w:r>
        <w:t>laborativa</w:t>
      </w:r>
      <w:proofErr w:type="spellEnd"/>
      <w:r>
        <w:t xml:space="preserve"> do proposto;</w:t>
      </w:r>
    </w:p>
    <w:p w:rsidR="00FF54DA" w:rsidRDefault="0082408F" w:rsidP="0082408F">
      <w:pPr>
        <w:pStyle w:val="PargrafodaLista"/>
        <w:jc w:val="both"/>
      </w:pPr>
      <w:r>
        <w:t xml:space="preserve">V – A sugestão de </w:t>
      </w:r>
      <w:proofErr w:type="spellStart"/>
      <w:r>
        <w:t>voos</w:t>
      </w:r>
      <w:proofErr w:type="spellEnd"/>
      <w:r>
        <w:t xml:space="preserve"> e/ou horários de retorno é indispensável, </w:t>
      </w:r>
      <w:r w:rsidR="00047732">
        <w:t xml:space="preserve">pois visa </w:t>
      </w:r>
      <w:proofErr w:type="gramStart"/>
      <w:r w:rsidR="00047732">
        <w:t>a</w:t>
      </w:r>
      <w:proofErr w:type="gramEnd"/>
      <w:r>
        <w:t xml:space="preserve"> participação do proposto na integralidade d</w:t>
      </w:r>
      <w:r w:rsidR="00FF54DA">
        <w:t>o evento, compromisso ou missão;</w:t>
      </w:r>
    </w:p>
    <w:p w:rsidR="00EA57ED" w:rsidRDefault="00FF54DA" w:rsidP="00FF54DA">
      <w:pPr>
        <w:pStyle w:val="PargrafodaLista"/>
        <w:numPr>
          <w:ilvl w:val="0"/>
          <w:numId w:val="5"/>
        </w:numPr>
        <w:jc w:val="both"/>
      </w:pPr>
      <w:r>
        <w:t>A viagem com diár</w:t>
      </w:r>
      <w:r w:rsidR="00595D87">
        <w:t>ias e/ou passagens de qualquer P</w:t>
      </w:r>
      <w:r>
        <w:t>roposto que não envolve</w:t>
      </w:r>
      <w:r w:rsidR="00595D87">
        <w:t>r</w:t>
      </w:r>
      <w:r>
        <w:t xml:space="preserve"> em seu percurso a sede desta IFES e seus </w:t>
      </w:r>
      <w:r w:rsidRPr="00FF54DA">
        <w:rPr>
          <w:i/>
        </w:rPr>
        <w:t>campi</w:t>
      </w:r>
      <w:r>
        <w:t xml:space="preserve"> deve ser </w:t>
      </w:r>
      <w:proofErr w:type="gramStart"/>
      <w:r>
        <w:t>claramente justificada</w:t>
      </w:r>
      <w:proofErr w:type="gramEnd"/>
      <w:r w:rsidR="00595D87">
        <w:t>, expressando claramente a pertinência de sua realização.</w:t>
      </w:r>
    </w:p>
    <w:p w:rsidR="005B10C5" w:rsidRDefault="005B10C5" w:rsidP="006E3052">
      <w:pPr>
        <w:pStyle w:val="PargrafodaLista"/>
        <w:spacing w:after="0"/>
        <w:jc w:val="both"/>
        <w:rPr>
          <w:u w:val="single"/>
        </w:rPr>
      </w:pPr>
      <w:r>
        <w:t xml:space="preserve"> </w:t>
      </w:r>
    </w:p>
    <w:p w:rsidR="00E72373" w:rsidRPr="00E72373" w:rsidRDefault="00E72373" w:rsidP="00E72373">
      <w:pPr>
        <w:rPr>
          <w:u w:val="single"/>
        </w:rPr>
      </w:pPr>
      <w:r w:rsidRPr="00E72373">
        <w:rPr>
          <w:u w:val="single"/>
        </w:rPr>
        <w:t>DOS PRAZOS PARA SOLICITAÇÃO DE PASSAGENS AÉREAS</w:t>
      </w:r>
    </w:p>
    <w:p w:rsidR="004C0362" w:rsidRDefault="00F22FE8" w:rsidP="00E72373">
      <w:pPr>
        <w:pStyle w:val="PargrafodaLista"/>
        <w:numPr>
          <w:ilvl w:val="0"/>
          <w:numId w:val="3"/>
        </w:numPr>
        <w:jc w:val="both"/>
      </w:pPr>
      <w:r>
        <w:t>O</w:t>
      </w:r>
      <w:r w:rsidR="004C0362">
        <w:t xml:space="preserve"> prazo mínimo e obrigatório </w:t>
      </w:r>
      <w:r>
        <w:t xml:space="preserve">para solicitação de viagem com passagem aérea nacional é </w:t>
      </w:r>
      <w:r w:rsidR="004C0362">
        <w:t xml:space="preserve">de 10 (dez) dias de antecedência, conforme </w:t>
      </w:r>
      <w:r w:rsidR="005566F5">
        <w:t xml:space="preserve">dispõe o </w:t>
      </w:r>
      <w:r w:rsidR="004C0362">
        <w:t>Art. 1º, § I, da Portaria 505/2009-MP;</w:t>
      </w:r>
    </w:p>
    <w:p w:rsidR="004C0362" w:rsidRDefault="00F22FE8" w:rsidP="00E72373">
      <w:pPr>
        <w:pStyle w:val="PargrafodaLista"/>
        <w:numPr>
          <w:ilvl w:val="0"/>
          <w:numId w:val="3"/>
        </w:numPr>
        <w:jc w:val="both"/>
      </w:pPr>
      <w:r>
        <w:t>O</w:t>
      </w:r>
      <w:r w:rsidR="004C0362">
        <w:t xml:space="preserve"> prazo mínimo e obrigatório </w:t>
      </w:r>
      <w:r>
        <w:t xml:space="preserve">para solicitação de viagem com passagem aérea internacional é </w:t>
      </w:r>
      <w:r w:rsidR="004C0362">
        <w:t xml:space="preserve">de </w:t>
      </w:r>
      <w:proofErr w:type="gramStart"/>
      <w:r w:rsidR="004C0362">
        <w:t xml:space="preserve">15 (quinze) dias de antecedência, tendo </w:t>
      </w:r>
      <w:r w:rsidR="00446A66">
        <w:t xml:space="preserve">em vista </w:t>
      </w:r>
      <w:r w:rsidR="004C0362">
        <w:t xml:space="preserve">a necessidade de </w:t>
      </w:r>
      <w:r w:rsidR="00AA6CCE">
        <w:t xml:space="preserve">autorizo da Autoridade Superior e </w:t>
      </w:r>
      <w:r w:rsidR="004C0362">
        <w:t>publicação antecipada no Diário Oficial da Uni</w:t>
      </w:r>
      <w:r w:rsidR="00360486">
        <w:t>ão</w:t>
      </w:r>
      <w:r w:rsidR="00AA6CCE">
        <w:t xml:space="preserve"> (Autorizo do Ministro da Educação)</w:t>
      </w:r>
      <w:r w:rsidR="00360486">
        <w:t>, em consonância com</w:t>
      </w:r>
      <w:r w:rsidR="005566F5">
        <w:t xml:space="preserve"> </w:t>
      </w:r>
      <w:r w:rsidR="00360486">
        <w:t>o Art. 8º, § 1º, da Portaria nº</w:t>
      </w:r>
      <w:proofErr w:type="gramEnd"/>
      <w:r w:rsidR="00360486">
        <w:t xml:space="preserve"> 403/2009-MEC, e conforme dispõe </w:t>
      </w:r>
      <w:r w:rsidR="005566F5">
        <w:t xml:space="preserve">os </w:t>
      </w:r>
      <w:proofErr w:type="spellStart"/>
      <w:r w:rsidR="004C0362">
        <w:t>Art</w:t>
      </w:r>
      <w:r w:rsidR="00E72373">
        <w:t>s</w:t>
      </w:r>
      <w:proofErr w:type="spellEnd"/>
      <w:r w:rsidR="00E72373">
        <w:t xml:space="preserve">. 2º e 3º do Dec. 1.387/1995-SLTI/MP; </w:t>
      </w:r>
      <w:r w:rsidR="005566F5">
        <w:t xml:space="preserve">o </w:t>
      </w:r>
      <w:r w:rsidR="00E72373">
        <w:t>Art. 7º, inciso VI, do Dec. 7.689/2012-</w:t>
      </w:r>
      <w:r w:rsidR="00E72373" w:rsidRPr="00E72373">
        <w:t xml:space="preserve"> </w:t>
      </w:r>
      <w:r w:rsidR="00E72373">
        <w:t xml:space="preserve">SLTI/MP; </w:t>
      </w:r>
      <w:r w:rsidR="005566F5">
        <w:t xml:space="preserve">o </w:t>
      </w:r>
      <w:r w:rsidR="00E72373">
        <w:t>Art. 13º</w:t>
      </w:r>
      <w:r w:rsidR="005566F5">
        <w:t xml:space="preserve"> da</w:t>
      </w:r>
      <w:r w:rsidR="00E72373">
        <w:t xml:space="preserve"> Portaria 249/2012-MP</w:t>
      </w:r>
      <w:r w:rsidR="005566F5">
        <w:t xml:space="preserve"> e o</w:t>
      </w:r>
      <w:r w:rsidR="005B10C5">
        <w:t xml:space="preserve"> Acórdão TCU 569/2002-Plenário;</w:t>
      </w:r>
    </w:p>
    <w:p w:rsidR="004042A4" w:rsidRDefault="004042A4" w:rsidP="004042A4">
      <w:pPr>
        <w:pStyle w:val="PargrafodaLista"/>
        <w:jc w:val="both"/>
      </w:pPr>
      <w:r>
        <w:t>I –</w:t>
      </w:r>
      <w:r w:rsidR="00106A5B">
        <w:t xml:space="preserve"> N</w:t>
      </w:r>
      <w:r>
        <w:t xml:space="preserve">os casos em que </w:t>
      </w:r>
      <w:r w:rsidR="00FB24DA">
        <w:t>houver</w:t>
      </w:r>
      <w:r>
        <w:t xml:space="preserve"> somente a concessão de diárias</w:t>
      </w:r>
      <w:r w:rsidR="00FB24DA">
        <w:t xml:space="preserve"> ou a simples autorização para o deslocamento deve ser respeitado o mesmo prazo.</w:t>
      </w:r>
    </w:p>
    <w:p w:rsidR="002537B4" w:rsidRDefault="00E72373" w:rsidP="002537B4">
      <w:pPr>
        <w:pStyle w:val="PargrafodaLista"/>
        <w:numPr>
          <w:ilvl w:val="0"/>
          <w:numId w:val="3"/>
        </w:numPr>
        <w:jc w:val="both"/>
      </w:pPr>
      <w:r>
        <w:t>Em casos excepcionais</w:t>
      </w:r>
      <w:r w:rsidR="002537B4">
        <w:t xml:space="preserve"> </w:t>
      </w:r>
      <w:r w:rsidR="005B10C5">
        <w:t>poderá ser autorizada pel</w:t>
      </w:r>
      <w:r w:rsidR="00D223AA">
        <w:t>a</w:t>
      </w:r>
      <w:r w:rsidR="005B10C5">
        <w:t xml:space="preserve"> </w:t>
      </w:r>
      <w:r w:rsidR="00D223AA">
        <w:t>Autoridade Superior</w:t>
      </w:r>
      <w:r w:rsidR="005B10C5">
        <w:t xml:space="preserve"> a solicitação de passagens aéreas que não atendam os prazos estabelecidos acima, desde que devidamente justificada a inviabilidade do seu efetivo cumprimento, conforme </w:t>
      </w:r>
      <w:r w:rsidR="00106A5B">
        <w:t xml:space="preserve">dispõe o </w:t>
      </w:r>
      <w:r w:rsidR="005B10C5">
        <w:t xml:space="preserve">Art. 1º, § 1º e 2º, da Portaria 505/2009-MP. </w:t>
      </w:r>
    </w:p>
    <w:p w:rsidR="006E3052" w:rsidRDefault="006E3052" w:rsidP="006E3052">
      <w:pPr>
        <w:pStyle w:val="PargrafodaLista"/>
        <w:spacing w:after="0"/>
        <w:jc w:val="both"/>
      </w:pPr>
    </w:p>
    <w:p w:rsidR="003C3155" w:rsidRPr="003C3155" w:rsidRDefault="003C3155" w:rsidP="003C3155">
      <w:pPr>
        <w:jc w:val="both"/>
        <w:rPr>
          <w:u w:val="single"/>
        </w:rPr>
      </w:pPr>
      <w:r w:rsidRPr="003C3155">
        <w:rPr>
          <w:u w:val="single"/>
        </w:rPr>
        <w:t>DAS EMISSÕES DOS BILHETES</w:t>
      </w:r>
    </w:p>
    <w:p w:rsidR="003C3155" w:rsidRDefault="003C3155" w:rsidP="003C3155">
      <w:pPr>
        <w:pStyle w:val="PargrafodaLista"/>
        <w:numPr>
          <w:ilvl w:val="0"/>
          <w:numId w:val="6"/>
        </w:numPr>
        <w:jc w:val="both"/>
      </w:pPr>
      <w:r>
        <w:lastRenderedPageBreak/>
        <w:t>A emissão do bilhete será realizada antecipadamente à autorização da Autoridade Superior</w:t>
      </w:r>
      <w:r w:rsidR="00664AFC">
        <w:t xml:space="preserve"> pelo Solicitante de Passagem</w:t>
      </w:r>
      <w:r>
        <w:t xml:space="preserve">, visando </w:t>
      </w:r>
      <w:r w:rsidR="001B5629">
        <w:t>à</w:t>
      </w:r>
      <w:r>
        <w:t xml:space="preserve"> fluidez dos processos</w:t>
      </w:r>
      <w:r w:rsidR="00CE24DD">
        <w:t xml:space="preserve">, </w:t>
      </w:r>
      <w:r w:rsidR="0053136F">
        <w:t xml:space="preserve">como dispõe o </w:t>
      </w:r>
      <w:r w:rsidR="00CE24DD">
        <w:t>Art. 1º, inciso II, da Portaria 505/2009-MP</w:t>
      </w:r>
      <w:r>
        <w:t>;</w:t>
      </w:r>
    </w:p>
    <w:p w:rsidR="00DD45CC" w:rsidRDefault="007B0D6F" w:rsidP="003C3155">
      <w:pPr>
        <w:pStyle w:val="PargrafodaLista"/>
        <w:numPr>
          <w:ilvl w:val="0"/>
          <w:numId w:val="6"/>
        </w:numPr>
        <w:jc w:val="both"/>
      </w:pPr>
      <w:r>
        <w:t>O Solicitante de Passage</w:t>
      </w:r>
      <w:r w:rsidR="00712FC4">
        <w:t>ns</w:t>
      </w:r>
      <w:r w:rsidR="003C3155">
        <w:t xml:space="preserve"> será</w:t>
      </w:r>
      <w:r>
        <w:t xml:space="preserve"> </w:t>
      </w:r>
      <w:r w:rsidR="003C3155">
        <w:t xml:space="preserve">designado e autorizado por meio de Portaria específica, conforme </w:t>
      </w:r>
      <w:r w:rsidR="003F1258">
        <w:t xml:space="preserve">dispõe o </w:t>
      </w:r>
      <w:r w:rsidR="003C3155">
        <w:t>Art. 1º, inciso V, da Portaria 505/2009-MP</w:t>
      </w:r>
      <w:r w:rsidR="00DD45CC">
        <w:t>;</w:t>
      </w:r>
    </w:p>
    <w:p w:rsidR="00DD45CC" w:rsidRDefault="00DD45CC" w:rsidP="003C3155">
      <w:pPr>
        <w:pStyle w:val="PargrafodaLista"/>
        <w:numPr>
          <w:ilvl w:val="0"/>
          <w:numId w:val="6"/>
        </w:numPr>
        <w:jc w:val="both"/>
      </w:pPr>
      <w:r>
        <w:t xml:space="preserve">A emissão se dará levando em conta as sugestões de </w:t>
      </w:r>
      <w:proofErr w:type="spellStart"/>
      <w:r>
        <w:t>voos</w:t>
      </w:r>
      <w:proofErr w:type="spellEnd"/>
      <w:r>
        <w:t xml:space="preserve"> e horários</w:t>
      </w:r>
      <w:r w:rsidR="003F1258">
        <w:t xml:space="preserve"> da solicitação</w:t>
      </w:r>
      <w:r>
        <w:t>;</w:t>
      </w:r>
    </w:p>
    <w:p w:rsidR="003C3155" w:rsidRDefault="00DD45CC" w:rsidP="003C3155">
      <w:pPr>
        <w:pStyle w:val="PargrafodaLista"/>
        <w:numPr>
          <w:ilvl w:val="0"/>
          <w:numId w:val="6"/>
        </w:numPr>
        <w:jc w:val="both"/>
      </w:pPr>
      <w:r>
        <w:t xml:space="preserve">Não havendo mais disponibilidade de </w:t>
      </w:r>
      <w:proofErr w:type="spellStart"/>
      <w:r>
        <w:t>voos</w:t>
      </w:r>
      <w:proofErr w:type="spellEnd"/>
      <w:r>
        <w:t xml:space="preserve"> e horários sugeridos</w:t>
      </w:r>
      <w:r w:rsidR="00F73402">
        <w:t>,</w:t>
      </w:r>
      <w:r w:rsidR="00E90E90">
        <w:t xml:space="preserve"> alternativas semelhantes devem ser priorizadas;</w:t>
      </w:r>
    </w:p>
    <w:p w:rsidR="0045158B" w:rsidRDefault="00E90E90" w:rsidP="003C3155">
      <w:pPr>
        <w:pStyle w:val="PargrafodaLista"/>
        <w:numPr>
          <w:ilvl w:val="0"/>
          <w:numId w:val="6"/>
        </w:numPr>
        <w:jc w:val="both"/>
      </w:pPr>
      <w:r>
        <w:t xml:space="preserve">Não havendo alternativas semelhantes o Solicitante deve ser informado para deliberação quanto </w:t>
      </w:r>
      <w:r w:rsidR="0045158B">
        <w:t>à</w:t>
      </w:r>
      <w:r>
        <w:t xml:space="preserve"> nova data ou horário</w:t>
      </w:r>
      <w:r w:rsidR="0045158B">
        <w:t>;</w:t>
      </w:r>
    </w:p>
    <w:p w:rsidR="00E90E90" w:rsidRDefault="0045158B" w:rsidP="003C3155">
      <w:pPr>
        <w:pStyle w:val="PargrafodaLista"/>
        <w:numPr>
          <w:ilvl w:val="0"/>
          <w:numId w:val="6"/>
        </w:numPr>
        <w:jc w:val="both"/>
      </w:pPr>
      <w:r>
        <w:t xml:space="preserve">A passagem será enviada para o </w:t>
      </w:r>
      <w:r w:rsidR="002B35F5">
        <w:t>e-mail do P</w:t>
      </w:r>
      <w:r>
        <w:t xml:space="preserve">roposto e com cópia para o </w:t>
      </w:r>
      <w:r w:rsidR="002B35F5">
        <w:t>S</w:t>
      </w:r>
      <w:r>
        <w:t xml:space="preserve">olicitante, portanto, </w:t>
      </w:r>
      <w:r w:rsidR="00F752F9">
        <w:t>ambos</w:t>
      </w:r>
      <w:r>
        <w:t xml:space="preserve"> deverão fornecer e-mail atualizado no sistema</w:t>
      </w:r>
      <w:r w:rsidR="00252CAF">
        <w:t xml:space="preserve">, com risco de </w:t>
      </w:r>
      <w:r w:rsidR="00CF7AE0">
        <w:t xml:space="preserve">se </w:t>
      </w:r>
      <w:r w:rsidR="00252CAF">
        <w:t>responsabiliza</w:t>
      </w:r>
      <w:r w:rsidR="00CF7AE0">
        <w:t>rem</w:t>
      </w:r>
      <w:r w:rsidR="00252CAF">
        <w:t xml:space="preserve"> pelo não recebimento </w:t>
      </w:r>
      <w:r w:rsidR="00712FC4">
        <w:t xml:space="preserve">do bilhete </w:t>
      </w:r>
      <w:r w:rsidR="00252CAF">
        <w:t>e não realização da viagem</w:t>
      </w:r>
      <w:r w:rsidR="00712FC4">
        <w:t>;</w:t>
      </w:r>
    </w:p>
    <w:p w:rsidR="00712FC4" w:rsidRDefault="00712FC4" w:rsidP="003C3155">
      <w:pPr>
        <w:pStyle w:val="PargrafodaLista"/>
        <w:numPr>
          <w:ilvl w:val="0"/>
          <w:numId w:val="6"/>
        </w:numPr>
        <w:jc w:val="both"/>
      </w:pPr>
      <w:r>
        <w:t xml:space="preserve">Ambos também deverão dar </w:t>
      </w:r>
      <w:proofErr w:type="gramStart"/>
      <w:r w:rsidRPr="00712FC4">
        <w:rPr>
          <w:i/>
        </w:rPr>
        <w:t>feedback</w:t>
      </w:r>
      <w:proofErr w:type="gramEnd"/>
      <w:r w:rsidRPr="00712FC4">
        <w:rPr>
          <w:i/>
        </w:rPr>
        <w:t xml:space="preserve"> </w:t>
      </w:r>
      <w:r>
        <w:t>do recebimento dos bilhetes ao Solicitante de Passagens, com risco de se responsabilizarem pelo não recebimento do bilhete e não realização da viagem</w:t>
      </w:r>
    </w:p>
    <w:p w:rsidR="006E6199" w:rsidRDefault="006E6199" w:rsidP="006E6199">
      <w:pPr>
        <w:spacing w:after="0"/>
        <w:jc w:val="both"/>
        <w:rPr>
          <w:u w:val="single"/>
        </w:rPr>
      </w:pPr>
    </w:p>
    <w:p w:rsidR="007C5606" w:rsidRDefault="007C5606" w:rsidP="00DD48FC">
      <w:pPr>
        <w:jc w:val="both"/>
        <w:rPr>
          <w:u w:val="single"/>
        </w:rPr>
      </w:pPr>
      <w:r w:rsidRPr="001D2056">
        <w:rPr>
          <w:u w:val="single"/>
        </w:rPr>
        <w:t>DAS ALTERAÇÕES E CANCELAMENTOS DE VIAGENS</w:t>
      </w:r>
    </w:p>
    <w:p w:rsidR="00E80541" w:rsidRDefault="00E80541" w:rsidP="00E80541">
      <w:pPr>
        <w:pStyle w:val="PargrafodaLista"/>
        <w:numPr>
          <w:ilvl w:val="0"/>
          <w:numId w:val="7"/>
        </w:numPr>
        <w:jc w:val="both"/>
      </w:pPr>
      <w:r>
        <w:t xml:space="preserve">Toda e qualquer alteração de passagens aéreas ou período de permanência para concessão de diárias além das previstas será feita no </w:t>
      </w:r>
      <w:r w:rsidR="00F82B0F">
        <w:t>SCDP</w:t>
      </w:r>
      <w:r>
        <w:t xml:space="preserve">, por meio do módulo Prorroga/Completa, com a devida autorização </w:t>
      </w:r>
      <w:r w:rsidR="003E7773">
        <w:t>do Proponente</w:t>
      </w:r>
      <w:r>
        <w:t>;</w:t>
      </w:r>
    </w:p>
    <w:p w:rsidR="00E80541" w:rsidRDefault="00E80541" w:rsidP="00E80541">
      <w:pPr>
        <w:pStyle w:val="PargrafodaLista"/>
        <w:numPr>
          <w:ilvl w:val="0"/>
          <w:numId w:val="7"/>
        </w:numPr>
        <w:jc w:val="both"/>
      </w:pPr>
      <w:r>
        <w:t xml:space="preserve">A alteração que </w:t>
      </w:r>
      <w:r w:rsidR="007F1C61">
        <w:t>se fizer necessária</w:t>
      </w:r>
      <w:r>
        <w:t xml:space="preserve"> sem o interesse, a autorização ou determinação da administraçã</w:t>
      </w:r>
      <w:r w:rsidR="00382FF6">
        <w:t>o se dará por conta do próprio P</w:t>
      </w:r>
      <w:r>
        <w:t xml:space="preserve">roposto, conforme </w:t>
      </w:r>
      <w:r w:rsidR="005D2153">
        <w:t xml:space="preserve">dispõe o </w:t>
      </w:r>
      <w:r>
        <w:t>Art. 5º, § 4º, do Dec. 5.992/2006;</w:t>
      </w:r>
    </w:p>
    <w:p w:rsidR="00E80541" w:rsidRDefault="007F1C61" w:rsidP="00E80541">
      <w:pPr>
        <w:pStyle w:val="PargrafodaLista"/>
        <w:numPr>
          <w:ilvl w:val="0"/>
          <w:numId w:val="7"/>
        </w:numPr>
        <w:jc w:val="both"/>
      </w:pPr>
      <w:r>
        <w:t xml:space="preserve">O cancelamento da viagem deve ser informado no </w:t>
      </w:r>
      <w:r w:rsidR="00A31C49">
        <w:t>SCDP</w:t>
      </w:r>
      <w:r>
        <w:t xml:space="preserve"> e por meio formal à Pró-Reitoria de Gestão de Pessoas</w:t>
      </w:r>
      <w:r w:rsidR="00351273">
        <w:t xml:space="preserve"> (Solicitante de Passagens)</w:t>
      </w:r>
      <w:r w:rsidR="00917CF2">
        <w:t xml:space="preserve"> antes da realização da mesma</w:t>
      </w:r>
      <w:r>
        <w:t xml:space="preserve">, no sentido de evitar multa por </w:t>
      </w:r>
      <w:r w:rsidRPr="007F1C61">
        <w:rPr>
          <w:i/>
        </w:rPr>
        <w:t>“no show”</w:t>
      </w:r>
      <w:r>
        <w:rPr>
          <w:i/>
        </w:rPr>
        <w:t xml:space="preserve"> </w:t>
      </w:r>
      <w:r>
        <w:t>no reembolso e assim um prejuízo maior à administração</w:t>
      </w:r>
      <w:r w:rsidR="00CC5906">
        <w:t>;</w:t>
      </w:r>
    </w:p>
    <w:p w:rsidR="001C625F" w:rsidRDefault="00CC5906" w:rsidP="001C625F">
      <w:pPr>
        <w:pStyle w:val="PargrafodaLista"/>
        <w:numPr>
          <w:ilvl w:val="0"/>
          <w:numId w:val="7"/>
        </w:numPr>
        <w:jc w:val="both"/>
      </w:pPr>
      <w:r>
        <w:t>Em hipótese alguma uma solicitação deve ser cancelada</w:t>
      </w:r>
      <w:r w:rsidR="009F6878">
        <w:t xml:space="preserve"> no SCDP</w:t>
      </w:r>
      <w:r>
        <w:t xml:space="preserve"> estando </w:t>
      </w:r>
      <w:proofErr w:type="gramStart"/>
      <w:r>
        <w:t>a</w:t>
      </w:r>
      <w:proofErr w:type="gramEnd"/>
      <w:r>
        <w:t xml:space="preserve"> passagem já emitida</w:t>
      </w:r>
      <w:r w:rsidR="005600F2">
        <w:t>, nestes casos a Prestação de Contas deve ser feita como Viagem Não Realizada</w:t>
      </w:r>
      <w:r>
        <w:t>.</w:t>
      </w:r>
    </w:p>
    <w:p w:rsidR="00493D8A" w:rsidRDefault="00493D8A" w:rsidP="00493D8A">
      <w:pPr>
        <w:pStyle w:val="PargrafodaLista"/>
        <w:spacing w:after="0"/>
        <w:jc w:val="both"/>
      </w:pPr>
    </w:p>
    <w:p w:rsidR="00CC5906" w:rsidRPr="001D2056" w:rsidRDefault="00CC5906" w:rsidP="00CC5906">
      <w:pPr>
        <w:jc w:val="both"/>
        <w:rPr>
          <w:u w:val="single"/>
        </w:rPr>
      </w:pPr>
      <w:r w:rsidRPr="001D2056">
        <w:rPr>
          <w:u w:val="single"/>
        </w:rPr>
        <w:t>DOS REEMBOLSOS</w:t>
      </w:r>
    </w:p>
    <w:p w:rsidR="00CC5906" w:rsidRDefault="00CC5906" w:rsidP="00CC5906">
      <w:pPr>
        <w:pStyle w:val="PargrafodaLista"/>
        <w:numPr>
          <w:ilvl w:val="0"/>
          <w:numId w:val="8"/>
        </w:numPr>
        <w:jc w:val="both"/>
      </w:pPr>
      <w:r>
        <w:t>Caso a viagem não seja realizada se houver diárias as mesmas deverão ser reembolsadas por meio de um Guia de Recolhimento da União</w:t>
      </w:r>
      <w:r w:rsidR="00DC7355">
        <w:t>, conforme o Dec. 5.992/2006 em seu Art. 7º</w:t>
      </w:r>
      <w:r>
        <w:t>;</w:t>
      </w:r>
    </w:p>
    <w:p w:rsidR="00CC5906" w:rsidRDefault="00CC5906" w:rsidP="00CC5906">
      <w:pPr>
        <w:pStyle w:val="PargrafodaLista"/>
        <w:numPr>
          <w:ilvl w:val="0"/>
          <w:numId w:val="8"/>
        </w:numPr>
        <w:jc w:val="both"/>
      </w:pPr>
      <w:r>
        <w:t>Caso a viagem não seja realizada por motivo pessoal</w:t>
      </w:r>
      <w:r w:rsidR="00921F48">
        <w:t xml:space="preserve"> ou injustificado</w:t>
      </w:r>
      <w:r>
        <w:t xml:space="preserve">, além das diárias também deve ser reembolsado o valor da passagem não </w:t>
      </w:r>
      <w:r w:rsidR="00B01D5B">
        <w:t>restituído</w:t>
      </w:r>
      <w:r>
        <w:t xml:space="preserve"> pela companhia aérea e pela agência, ou seja, se o valor da passagem foi </w:t>
      </w:r>
      <w:r w:rsidR="00A60C33">
        <w:t xml:space="preserve">de </w:t>
      </w:r>
      <w:r>
        <w:t xml:space="preserve">R$ 500,00 reais e o valor </w:t>
      </w:r>
      <w:r w:rsidR="00FA0736">
        <w:t>restituído</w:t>
      </w:r>
      <w:r>
        <w:t xml:space="preserve"> à administração foi </w:t>
      </w:r>
      <w:r w:rsidR="00A60C33">
        <w:t xml:space="preserve">de </w:t>
      </w:r>
      <w:r>
        <w:t xml:space="preserve">R$ 350,00 reais, o </w:t>
      </w:r>
      <w:r w:rsidR="00A60C33">
        <w:t>P</w:t>
      </w:r>
      <w:r>
        <w:t>roposto será responsabilizado por R$ 150,00 reais</w:t>
      </w:r>
      <w:r w:rsidR="002D6D06">
        <w:t>, conforme dispõe o Acórdão TCU 6078/2009-2ª Câmara</w:t>
      </w:r>
      <w:r>
        <w:t>;</w:t>
      </w:r>
    </w:p>
    <w:p w:rsidR="00CC5906" w:rsidRDefault="00CC5906" w:rsidP="00CC5906">
      <w:pPr>
        <w:pStyle w:val="PargrafodaLista"/>
        <w:numPr>
          <w:ilvl w:val="0"/>
          <w:numId w:val="8"/>
        </w:numPr>
        <w:jc w:val="both"/>
      </w:pPr>
      <w:r>
        <w:t xml:space="preserve">Caso ocorra o retorno do </w:t>
      </w:r>
      <w:r w:rsidR="00D21170">
        <w:t>P</w:t>
      </w:r>
      <w:r>
        <w:t>roposto</w:t>
      </w:r>
      <w:r w:rsidR="006E107C">
        <w:t xml:space="preserve"> por qualquer motivo</w:t>
      </w:r>
      <w:r>
        <w:t xml:space="preserve"> antes do compromisso o mesmo deverá reembolsar as diárias não </w:t>
      </w:r>
      <w:r w:rsidR="003E5BEB">
        <w:t>utilizadas</w:t>
      </w:r>
      <w:r w:rsidR="00622B58">
        <w:t>;</w:t>
      </w:r>
    </w:p>
    <w:p w:rsidR="00622B58" w:rsidRDefault="00622B58" w:rsidP="00CC5906">
      <w:pPr>
        <w:pStyle w:val="PargrafodaLista"/>
        <w:numPr>
          <w:ilvl w:val="0"/>
          <w:numId w:val="8"/>
        </w:numPr>
        <w:jc w:val="both"/>
      </w:pPr>
      <w:r>
        <w:t xml:space="preserve">O servidor responsável pela fiscalização de reembolsos, tanto por parte de </w:t>
      </w:r>
      <w:r w:rsidR="00980FB6">
        <w:t>P</w:t>
      </w:r>
      <w:r>
        <w:t>roposto</w:t>
      </w:r>
      <w:r w:rsidR="00980FB6">
        <w:t>s</w:t>
      </w:r>
      <w:r>
        <w:t xml:space="preserve"> quanto por parte da agência, será designado por meio de Portaria específica, podendo ser o próprio F</w:t>
      </w:r>
      <w:r w:rsidR="00EF184E">
        <w:t>iscal do Contrato;</w:t>
      </w:r>
    </w:p>
    <w:p w:rsidR="00640601" w:rsidRDefault="00640601" w:rsidP="00CC5906">
      <w:pPr>
        <w:pStyle w:val="PargrafodaLista"/>
        <w:numPr>
          <w:ilvl w:val="0"/>
          <w:numId w:val="8"/>
        </w:numPr>
        <w:jc w:val="both"/>
      </w:pPr>
      <w:r>
        <w:t xml:space="preserve">O Solicitante deverá informar </w:t>
      </w:r>
      <w:r w:rsidR="00A64F61">
        <w:t>a</w:t>
      </w:r>
      <w:r>
        <w:t>o Fiscal de Reembolso mensalmente o relatório de</w:t>
      </w:r>
      <w:r w:rsidR="00A64F61">
        <w:t xml:space="preserve"> Propostos que realizaram reembolso de diárias e/ou passagens, para que junto ao Financeiro o segundo verifique a efetivação do pagamento;</w:t>
      </w:r>
      <w:r>
        <w:t xml:space="preserve"> </w:t>
      </w:r>
    </w:p>
    <w:p w:rsidR="00A64F61" w:rsidRDefault="00A64F61" w:rsidP="00CC5906">
      <w:pPr>
        <w:pStyle w:val="PargrafodaLista"/>
        <w:numPr>
          <w:ilvl w:val="0"/>
          <w:numId w:val="8"/>
        </w:numPr>
        <w:jc w:val="both"/>
      </w:pPr>
      <w:r>
        <w:lastRenderedPageBreak/>
        <w:t>O Solicitante de Passagens deverá informar ao Fiscal de Reembolso mensalmente o relatório de bilhetes não utilizados para reembolso dos valores, para que junto ao Financeiro o segundo verifique a efetivação do pagamento;</w:t>
      </w:r>
    </w:p>
    <w:p w:rsidR="00EF184E" w:rsidRDefault="00EF184E" w:rsidP="00CC5906">
      <w:pPr>
        <w:pStyle w:val="PargrafodaLista"/>
        <w:numPr>
          <w:ilvl w:val="0"/>
          <w:numId w:val="8"/>
        </w:numPr>
        <w:jc w:val="both"/>
      </w:pPr>
      <w:r>
        <w:t>O prazo para reembolso de diárias é de 05 (cinco) dias, a contar da data da viagem, conforme o Dec. 5.992/2006 em seu Art. 7º;</w:t>
      </w:r>
    </w:p>
    <w:p w:rsidR="00EF184E" w:rsidRDefault="00EF184E" w:rsidP="00CC5906">
      <w:pPr>
        <w:pStyle w:val="PargrafodaLista"/>
        <w:numPr>
          <w:ilvl w:val="0"/>
          <w:numId w:val="8"/>
        </w:numPr>
        <w:jc w:val="both"/>
      </w:pPr>
      <w:r>
        <w:t>O prazo para reembolso de valores de passagens aéreas não utilizadas por motivo pessoal ou injustificado é de 15 (quinze) dias,</w:t>
      </w:r>
      <w:r w:rsidRPr="00EF184E">
        <w:t xml:space="preserve"> </w:t>
      </w:r>
      <w:r>
        <w:t>a contar da data da viagem, em virtude da necessidade de averiguação do valor a ser reembolsado pela empresa de transporte e pela agência.</w:t>
      </w:r>
    </w:p>
    <w:p w:rsidR="00493D8A" w:rsidRDefault="00493D8A" w:rsidP="00493D8A">
      <w:pPr>
        <w:pStyle w:val="PargrafodaLista"/>
        <w:spacing w:after="0"/>
        <w:jc w:val="both"/>
      </w:pPr>
    </w:p>
    <w:p w:rsidR="00DD48FC" w:rsidRPr="00C3781F" w:rsidRDefault="00DD48FC" w:rsidP="00DD48FC">
      <w:pPr>
        <w:jc w:val="both"/>
        <w:rPr>
          <w:u w:val="single"/>
        </w:rPr>
      </w:pPr>
      <w:r w:rsidRPr="00C3781F">
        <w:rPr>
          <w:u w:val="single"/>
        </w:rPr>
        <w:t>DA PRESTAÇÃO DE CONTAS</w:t>
      </w:r>
    </w:p>
    <w:p w:rsidR="001D2056" w:rsidRDefault="00B01D5B" w:rsidP="001D2056">
      <w:pPr>
        <w:pStyle w:val="PargrafodaLista"/>
        <w:numPr>
          <w:ilvl w:val="0"/>
          <w:numId w:val="9"/>
        </w:numPr>
        <w:jc w:val="both"/>
      </w:pPr>
      <w:r>
        <w:t xml:space="preserve">É proibida a concessão de passagens e diárias a Proposto que </w:t>
      </w:r>
      <w:r w:rsidR="001C625F">
        <w:t>estiver com Prestação de Contas ou Valores a</w:t>
      </w:r>
      <w:r w:rsidR="000D7E37">
        <w:t xml:space="preserve"> Devolver pendentes, conforme o Art. 13º, § 2º, da Portaria 403/2009-MEC e o </w:t>
      </w:r>
      <w:r w:rsidR="001C625F">
        <w:t>Acórdão TCU 2797/2010-2ª Câmara;</w:t>
      </w:r>
    </w:p>
    <w:p w:rsidR="001C625F" w:rsidRDefault="00D33A7B" w:rsidP="001D2056">
      <w:pPr>
        <w:pStyle w:val="PargrafodaLista"/>
        <w:numPr>
          <w:ilvl w:val="0"/>
          <w:numId w:val="9"/>
        </w:numPr>
        <w:jc w:val="both"/>
      </w:pPr>
      <w:r>
        <w:t>Para fins de Prestação de Contas de viagens serão aceitos somente os documentos abaixo:</w:t>
      </w:r>
    </w:p>
    <w:p w:rsidR="00D33A7B" w:rsidRDefault="00D33A7B" w:rsidP="00D33A7B">
      <w:pPr>
        <w:pStyle w:val="PargrafodaLista"/>
        <w:jc w:val="both"/>
      </w:pPr>
      <w:r>
        <w:t>I – Original ou segunda via de cartão de embarque, tanto da ida quanto do retorno;</w:t>
      </w:r>
    </w:p>
    <w:p w:rsidR="00D33A7B" w:rsidRDefault="00D33A7B" w:rsidP="00D33A7B">
      <w:pPr>
        <w:pStyle w:val="PargrafodaLista"/>
        <w:jc w:val="both"/>
      </w:pPr>
      <w:r>
        <w:t xml:space="preserve">II – Recibo da realização do </w:t>
      </w:r>
      <w:proofErr w:type="spellStart"/>
      <w:r w:rsidRPr="00D33A7B">
        <w:rPr>
          <w:i/>
        </w:rPr>
        <w:t>check</w:t>
      </w:r>
      <w:proofErr w:type="spellEnd"/>
      <w:r w:rsidRPr="00D33A7B">
        <w:rPr>
          <w:i/>
        </w:rPr>
        <w:t xml:space="preserve"> in </w:t>
      </w:r>
      <w:proofErr w:type="spellStart"/>
      <w:r w:rsidRPr="00D33A7B">
        <w:rPr>
          <w:i/>
        </w:rPr>
        <w:t>on</w:t>
      </w:r>
      <w:proofErr w:type="spellEnd"/>
      <w:r w:rsidRPr="00D33A7B">
        <w:rPr>
          <w:i/>
        </w:rPr>
        <w:t xml:space="preserve"> </w:t>
      </w:r>
      <w:proofErr w:type="spellStart"/>
      <w:r w:rsidRPr="00D33A7B">
        <w:rPr>
          <w:i/>
        </w:rPr>
        <w:t>line</w:t>
      </w:r>
      <w:proofErr w:type="spellEnd"/>
      <w:r>
        <w:t>;</w:t>
      </w:r>
    </w:p>
    <w:p w:rsidR="00267A3F" w:rsidRDefault="00D33A7B" w:rsidP="00267A3F">
      <w:pPr>
        <w:pStyle w:val="PargrafodaLista"/>
        <w:jc w:val="both"/>
      </w:pPr>
      <w:r>
        <w:t>III – Ou declaração fornecida pela empresa de transporte</w:t>
      </w:r>
      <w:r w:rsidR="009F6700">
        <w:t>;</w:t>
      </w:r>
    </w:p>
    <w:p w:rsidR="009F6700" w:rsidRDefault="009F6700" w:rsidP="00267A3F">
      <w:pPr>
        <w:pStyle w:val="PargrafodaLista"/>
        <w:jc w:val="both"/>
      </w:pPr>
      <w:r>
        <w:t>IV – Relatório de viagem (obrigatório somente para viagens internacionais</w:t>
      </w:r>
      <w:r w:rsidR="00030571">
        <w:t>, conforme o Art. 16º do Dec. 91.800/1995 e o Art. 1º, § 1º, da Portaria 205/2010</w:t>
      </w:r>
      <w:r>
        <w:t>);</w:t>
      </w:r>
    </w:p>
    <w:p w:rsidR="009F6700" w:rsidRDefault="009F6700" w:rsidP="00267A3F">
      <w:pPr>
        <w:pStyle w:val="PargrafodaLista"/>
        <w:jc w:val="both"/>
      </w:pPr>
      <w:r>
        <w:t xml:space="preserve">V – Certificados, declarações, fichas de </w:t>
      </w:r>
      <w:proofErr w:type="spellStart"/>
      <w:r>
        <w:t>frequência</w:t>
      </w:r>
      <w:proofErr w:type="spellEnd"/>
      <w:r>
        <w:t>, etc. (opcionais).</w:t>
      </w:r>
    </w:p>
    <w:p w:rsidR="00267A3F" w:rsidRDefault="00267A3F" w:rsidP="00267A3F">
      <w:pPr>
        <w:pStyle w:val="PargrafodaLista"/>
        <w:numPr>
          <w:ilvl w:val="0"/>
          <w:numId w:val="9"/>
        </w:numPr>
        <w:jc w:val="both"/>
      </w:pPr>
      <w:r>
        <w:t>Para fins de comprovação de Valores a Devolver será aceito:</w:t>
      </w:r>
    </w:p>
    <w:p w:rsidR="00267A3F" w:rsidRDefault="00267A3F" w:rsidP="00267A3F">
      <w:pPr>
        <w:pStyle w:val="PargrafodaLista"/>
        <w:jc w:val="both"/>
      </w:pPr>
      <w:r>
        <w:t xml:space="preserve">I – Cópia da </w:t>
      </w:r>
      <w:proofErr w:type="spellStart"/>
      <w:r>
        <w:t>G.R.U.</w:t>
      </w:r>
      <w:proofErr w:type="spellEnd"/>
      <w:r>
        <w:t xml:space="preserve"> </w:t>
      </w:r>
      <w:proofErr w:type="gramStart"/>
      <w:r>
        <w:t>com</w:t>
      </w:r>
      <w:proofErr w:type="gramEnd"/>
      <w:r>
        <w:t xml:space="preserve"> pagamento devidamente certificado pela instituição financeira e conferida com o original;</w:t>
      </w:r>
    </w:p>
    <w:p w:rsidR="00267A3F" w:rsidRDefault="00267A3F" w:rsidP="00267A3F">
      <w:pPr>
        <w:pStyle w:val="PargrafodaLista"/>
        <w:jc w:val="both"/>
      </w:pPr>
      <w:r>
        <w:t xml:space="preserve">II – Cópia do comprovante de pagamento eletrônico </w:t>
      </w:r>
      <w:r w:rsidR="0007395E">
        <w:t xml:space="preserve">da </w:t>
      </w:r>
      <w:proofErr w:type="spellStart"/>
      <w:r w:rsidR="0007395E">
        <w:t>G.R.U.</w:t>
      </w:r>
      <w:proofErr w:type="spellEnd"/>
      <w:r w:rsidR="0007395E">
        <w:t xml:space="preserve"> </w:t>
      </w:r>
      <w:proofErr w:type="gramStart"/>
      <w:r>
        <w:t>para</w:t>
      </w:r>
      <w:proofErr w:type="gramEnd"/>
      <w:r>
        <w:t xml:space="preserve"> a mesma data em que for apresentada.</w:t>
      </w:r>
    </w:p>
    <w:p w:rsidR="0007395E" w:rsidRDefault="00284174" w:rsidP="0007395E">
      <w:pPr>
        <w:pStyle w:val="PargrafodaLista"/>
        <w:numPr>
          <w:ilvl w:val="0"/>
          <w:numId w:val="9"/>
        </w:numPr>
        <w:jc w:val="both"/>
      </w:pPr>
      <w:r>
        <w:t>Os documentos para Prestação de Contas ou Valores a Devolver devem ser entregues no setor do Solicitante;</w:t>
      </w:r>
    </w:p>
    <w:p w:rsidR="00EF2F87" w:rsidRDefault="00EF2F87" w:rsidP="0007395E">
      <w:pPr>
        <w:pStyle w:val="PargrafodaLista"/>
        <w:numPr>
          <w:ilvl w:val="0"/>
          <w:numId w:val="9"/>
        </w:numPr>
        <w:jc w:val="both"/>
      </w:pPr>
      <w:r>
        <w:t>Os Colaboradores Eventuais ou Convidados</w:t>
      </w:r>
      <w:r w:rsidR="006F5743">
        <w:t>/SEPE</w:t>
      </w:r>
      <w:r>
        <w:t xml:space="preserve"> poderão enviar os documentos necessários digitalizados via e-mail </w:t>
      </w:r>
      <w:r w:rsidR="00AB4367">
        <w:t>para o</w:t>
      </w:r>
      <w:r>
        <w:t xml:space="preserve"> setor Solicitante;</w:t>
      </w:r>
    </w:p>
    <w:p w:rsidR="00E23E62" w:rsidRDefault="00E23E62" w:rsidP="00284174">
      <w:pPr>
        <w:pStyle w:val="PargrafodaLista"/>
        <w:numPr>
          <w:ilvl w:val="0"/>
          <w:numId w:val="9"/>
        </w:numPr>
        <w:jc w:val="both"/>
      </w:pPr>
      <w:r>
        <w:t>Não havendo a Prestação de Contas ou havendo comprovadamente fraude na mesma ou na comprovação de Valores a Devolver os seguintes procedimentos devem ser tomados:</w:t>
      </w:r>
    </w:p>
    <w:p w:rsidR="00284174" w:rsidRDefault="00E23E62" w:rsidP="00E23E62">
      <w:pPr>
        <w:pStyle w:val="PargrafodaLista"/>
        <w:jc w:val="both"/>
      </w:pPr>
      <w:r>
        <w:t xml:space="preserve">I – </w:t>
      </w:r>
      <w:r w:rsidR="00284174">
        <w:t xml:space="preserve">O Solicitante deve na ausência de interesse de Prestação de Contas por parte </w:t>
      </w:r>
      <w:proofErr w:type="gramStart"/>
      <w:r w:rsidR="00284174">
        <w:t xml:space="preserve">do </w:t>
      </w:r>
      <w:r>
        <w:t xml:space="preserve">Proposto </w:t>
      </w:r>
      <w:r w:rsidR="00284174">
        <w:t>comunicar</w:t>
      </w:r>
      <w:r>
        <w:t>-lhe</w:t>
      </w:r>
      <w:proofErr w:type="gramEnd"/>
      <w:r w:rsidR="00284174">
        <w:t xml:space="preserve"> amigavelmente</w:t>
      </w:r>
      <w:r>
        <w:t xml:space="preserve"> </w:t>
      </w:r>
      <w:r w:rsidR="0002039F">
        <w:t xml:space="preserve">sobre sua obrigação </w:t>
      </w:r>
      <w:r>
        <w:t>por qualquer meio de comunicação, mesmo informal</w:t>
      </w:r>
      <w:r w:rsidR="00284174">
        <w:t>;</w:t>
      </w:r>
    </w:p>
    <w:p w:rsidR="00284174" w:rsidRDefault="00E23E62" w:rsidP="00E23E62">
      <w:pPr>
        <w:pStyle w:val="PargrafodaLista"/>
        <w:jc w:val="both"/>
      </w:pPr>
      <w:r>
        <w:t xml:space="preserve">II – </w:t>
      </w:r>
      <w:r w:rsidR="00006D87">
        <w:t xml:space="preserve">Não havendo resposta </w:t>
      </w:r>
      <w:r w:rsidR="00FB724E">
        <w:t>o Proponente</w:t>
      </w:r>
      <w:r w:rsidR="0002039F">
        <w:t xml:space="preserve"> ou a Autoridade Superior</w:t>
      </w:r>
      <w:r w:rsidR="00284174">
        <w:t xml:space="preserve"> deve utilizar de instrumento de Notificação com prazo</w:t>
      </w:r>
      <w:r>
        <w:t xml:space="preserve"> de 10 (dez) dias para a Prestação de Contas</w:t>
      </w:r>
      <w:r w:rsidR="00284174">
        <w:t>;</w:t>
      </w:r>
    </w:p>
    <w:p w:rsidR="00006D87" w:rsidRDefault="00006D87" w:rsidP="00006D87">
      <w:pPr>
        <w:pStyle w:val="PargrafodaLista"/>
        <w:jc w:val="both"/>
      </w:pPr>
      <w:r>
        <w:t xml:space="preserve">III – </w:t>
      </w:r>
      <w:r w:rsidR="00284174">
        <w:t>Ainda não havendo resposta providencias administrativas cabíveis para instauração de tomada de contas devem ser tomadas, fazendo-se as comunicações a respeito ao Tribunal de Contas da União, conforme dispõe o Art. 84º do Dec. Lei 200/1967, o Acórdão TCU 1151/2007-Plenário</w:t>
      </w:r>
      <w:r w:rsidR="00E23E62">
        <w:t xml:space="preserve"> e a Lei 8.443/1992 em seu Art. 8º - TCU;</w:t>
      </w:r>
    </w:p>
    <w:p w:rsidR="00006D87" w:rsidRDefault="00006D87" w:rsidP="00006D87">
      <w:pPr>
        <w:pStyle w:val="PargrafodaLista"/>
        <w:jc w:val="both"/>
      </w:pPr>
      <w:r>
        <w:t xml:space="preserve">IV – </w:t>
      </w:r>
      <w:r w:rsidR="00E23E62">
        <w:t xml:space="preserve">O prazo máximo para </w:t>
      </w:r>
      <w:r>
        <w:t>a conclusão d</w:t>
      </w:r>
      <w:r w:rsidR="00E23E62">
        <w:t>os procedimento</w:t>
      </w:r>
      <w:r>
        <w:t>s acima com o devido informe ao TCU é de 60 (sessenta) dias, em consonância com o Acórdão TCU 9724/2011-1º Classe;</w:t>
      </w:r>
    </w:p>
    <w:p w:rsidR="00C36112" w:rsidRDefault="00C36112" w:rsidP="00C36112">
      <w:pPr>
        <w:pStyle w:val="PargrafodaLista"/>
        <w:numPr>
          <w:ilvl w:val="0"/>
          <w:numId w:val="9"/>
        </w:numPr>
        <w:jc w:val="both"/>
      </w:pPr>
      <w:r>
        <w:t>O prazo normal para a Prestação de Contas e comprovação de Devolução de Valores de diárias é de 05 (cinco) dias,</w:t>
      </w:r>
      <w:r w:rsidR="00013507">
        <w:t xml:space="preserve"> conforme o Art. 4º da Portaria 505/2009-MP;</w:t>
      </w:r>
    </w:p>
    <w:p w:rsidR="0045158B" w:rsidRDefault="00C36112" w:rsidP="0045158B">
      <w:pPr>
        <w:pStyle w:val="PargrafodaLista"/>
        <w:numPr>
          <w:ilvl w:val="0"/>
          <w:numId w:val="9"/>
        </w:numPr>
        <w:jc w:val="both"/>
      </w:pPr>
      <w:r>
        <w:t>O prazo normal para comprovação de Devolução de Valores de passagens é de 15 (quinze) dias</w:t>
      </w:r>
      <w:r w:rsidR="00030571">
        <w:t>;</w:t>
      </w:r>
    </w:p>
    <w:p w:rsidR="00030571" w:rsidRDefault="00030571" w:rsidP="0045158B">
      <w:pPr>
        <w:pStyle w:val="PargrafodaLista"/>
        <w:numPr>
          <w:ilvl w:val="0"/>
          <w:numId w:val="9"/>
        </w:numPr>
        <w:jc w:val="both"/>
      </w:pPr>
      <w:r>
        <w:lastRenderedPageBreak/>
        <w:t xml:space="preserve">O prazo normal para </w:t>
      </w:r>
      <w:r w:rsidR="00131D81">
        <w:t>Prestação de Contas e Devolução de Valores nos casos que envolvem viagens internacionais é de 30 (trinta) dias,</w:t>
      </w:r>
      <w:r w:rsidR="00E10BE1">
        <w:t xml:space="preserve"> conforme dispõe o Art. 1º, § 1º, da Portaria 205/2010 e o Acórdão TCU 569/2002-Plenário.</w:t>
      </w:r>
      <w:r w:rsidR="00131D81">
        <w:t xml:space="preserve"> </w:t>
      </w:r>
    </w:p>
    <w:p w:rsidR="003F33E7" w:rsidRDefault="003F33E7" w:rsidP="003F33E7">
      <w:pPr>
        <w:jc w:val="both"/>
      </w:pPr>
    </w:p>
    <w:p w:rsidR="003F33E7" w:rsidRDefault="003F33E7" w:rsidP="003F33E7">
      <w:pPr>
        <w:jc w:val="both"/>
      </w:pPr>
    </w:p>
    <w:p w:rsidR="00B7714C" w:rsidRDefault="00B7714C" w:rsidP="00B7714C">
      <w:r>
        <w:t xml:space="preserve">Tabela – Valor da Indenização de Diárias aos servidores públicos federais, no País </w:t>
      </w:r>
      <w:r w:rsidRPr="00FC724B">
        <w:t>(Redação dada pelo Decreto nº 6.907, de 2009)</w:t>
      </w:r>
      <w:r>
        <w:t>.</w:t>
      </w:r>
    </w:p>
    <w:tbl>
      <w:tblPr>
        <w:tblpPr w:leftFromText="141" w:rightFromText="141" w:horzAnchor="margin" w:tblpY="965"/>
        <w:tblW w:w="999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887"/>
        <w:gridCol w:w="1719"/>
        <w:gridCol w:w="1701"/>
        <w:gridCol w:w="1701"/>
        <w:gridCol w:w="1985"/>
      </w:tblGrid>
      <w:tr w:rsidR="00B7714C" w:rsidRPr="00FC724B" w:rsidTr="00F451AB">
        <w:trPr>
          <w:trHeight w:val="1290"/>
        </w:trPr>
        <w:tc>
          <w:tcPr>
            <w:tcW w:w="2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20" w:after="100" w:afterAutospacing="1" w:line="240" w:lineRule="auto"/>
              <w:jc w:val="center"/>
              <w:rPr>
                <w:rFonts w:ascii="Arial" w:eastAsia="Times New Roman" w:hAnsi="Arial" w:cs="Arial"/>
                <w:b/>
                <w:sz w:val="24"/>
                <w:szCs w:val="24"/>
                <w:lang w:eastAsia="pt-BR"/>
              </w:rPr>
            </w:pPr>
            <w:r w:rsidRPr="00FC724B">
              <w:rPr>
                <w:rFonts w:ascii="Arial" w:eastAsia="Times New Roman" w:hAnsi="Arial" w:cs="Arial"/>
                <w:b/>
                <w:color w:val="000000"/>
                <w:sz w:val="20"/>
                <w:szCs w:val="20"/>
                <w:lang w:eastAsia="pt-BR"/>
              </w:rPr>
              <w:t>Classificação do Cargo/Emprego/Função</w:t>
            </w:r>
          </w:p>
        </w:tc>
        <w:tc>
          <w:tcPr>
            <w:tcW w:w="1719"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20" w:after="100" w:afterAutospacing="1" w:line="240" w:lineRule="auto"/>
              <w:jc w:val="center"/>
              <w:rPr>
                <w:rFonts w:ascii="Arial" w:eastAsia="Times New Roman" w:hAnsi="Arial" w:cs="Arial"/>
                <w:b/>
                <w:sz w:val="24"/>
                <w:szCs w:val="24"/>
                <w:lang w:eastAsia="pt-BR"/>
              </w:rPr>
            </w:pPr>
            <w:r w:rsidRPr="00FC724B">
              <w:rPr>
                <w:rFonts w:ascii="Arial" w:eastAsia="Times New Roman" w:hAnsi="Arial" w:cs="Arial"/>
                <w:b/>
                <w:color w:val="000000"/>
                <w:sz w:val="20"/>
                <w:szCs w:val="20"/>
                <w:lang w:eastAsia="pt-BR"/>
              </w:rPr>
              <w:t>Deslocamentos para Brasília/Manaus/ Rio de Janeiro</w:t>
            </w:r>
          </w:p>
        </w:tc>
        <w:tc>
          <w:tcPr>
            <w:tcW w:w="1701"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20" w:after="100" w:afterAutospacing="1" w:line="240" w:lineRule="auto"/>
              <w:jc w:val="center"/>
              <w:rPr>
                <w:rFonts w:ascii="Arial" w:eastAsia="Times New Roman" w:hAnsi="Arial" w:cs="Arial"/>
                <w:b/>
                <w:sz w:val="24"/>
                <w:szCs w:val="24"/>
                <w:lang w:eastAsia="pt-BR"/>
              </w:rPr>
            </w:pPr>
            <w:r w:rsidRPr="00FC724B">
              <w:rPr>
                <w:rFonts w:ascii="Arial" w:eastAsia="Times New Roman" w:hAnsi="Arial" w:cs="Arial"/>
                <w:b/>
                <w:color w:val="000000"/>
                <w:sz w:val="20"/>
                <w:szCs w:val="20"/>
                <w:lang w:eastAsia="pt-BR"/>
              </w:rPr>
              <w:t>Deslocamentos para Belo Horizonte/ Fortaleza/Porto Alegre/Recife/ Salvador/São Paulo</w:t>
            </w:r>
          </w:p>
        </w:tc>
        <w:tc>
          <w:tcPr>
            <w:tcW w:w="1701"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20" w:after="100" w:afterAutospacing="1" w:line="240" w:lineRule="auto"/>
              <w:jc w:val="center"/>
              <w:rPr>
                <w:rFonts w:ascii="Arial" w:eastAsia="Times New Roman" w:hAnsi="Arial" w:cs="Arial"/>
                <w:b/>
                <w:sz w:val="24"/>
                <w:szCs w:val="24"/>
                <w:lang w:eastAsia="pt-BR"/>
              </w:rPr>
            </w:pPr>
            <w:r w:rsidRPr="00FC724B">
              <w:rPr>
                <w:rFonts w:ascii="Arial" w:eastAsia="Times New Roman" w:hAnsi="Arial" w:cs="Arial"/>
                <w:b/>
                <w:color w:val="000000"/>
                <w:sz w:val="20"/>
                <w:szCs w:val="20"/>
                <w:lang w:eastAsia="pt-BR"/>
              </w:rPr>
              <w:t>Deslocamentos para outras capitais de Estados</w:t>
            </w:r>
          </w:p>
        </w:tc>
        <w:tc>
          <w:tcPr>
            <w:tcW w:w="1985"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20" w:after="100" w:afterAutospacing="1" w:line="240" w:lineRule="auto"/>
              <w:jc w:val="center"/>
              <w:rPr>
                <w:rFonts w:ascii="Arial" w:eastAsia="Times New Roman" w:hAnsi="Arial" w:cs="Arial"/>
                <w:b/>
                <w:sz w:val="24"/>
                <w:szCs w:val="24"/>
                <w:lang w:eastAsia="pt-BR"/>
              </w:rPr>
            </w:pPr>
            <w:r w:rsidRPr="00FC724B">
              <w:rPr>
                <w:rFonts w:ascii="Arial" w:eastAsia="Times New Roman" w:hAnsi="Arial" w:cs="Arial"/>
                <w:b/>
                <w:color w:val="000000"/>
                <w:sz w:val="20"/>
                <w:szCs w:val="20"/>
                <w:lang w:eastAsia="pt-BR"/>
              </w:rPr>
              <w:t>Demais deslocamentos</w:t>
            </w:r>
          </w:p>
        </w:tc>
      </w:tr>
      <w:tr w:rsidR="00B7714C" w:rsidRPr="00FC724B" w:rsidTr="00F451AB">
        <w:trPr>
          <w:trHeight w:val="315"/>
        </w:trPr>
        <w:tc>
          <w:tcPr>
            <w:tcW w:w="288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both"/>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A) Ministro de Estado</w:t>
            </w:r>
          </w:p>
        </w:tc>
        <w:tc>
          <w:tcPr>
            <w:tcW w:w="171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581,00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551,95</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520,00</w:t>
            </w:r>
          </w:p>
        </w:tc>
        <w:tc>
          <w:tcPr>
            <w:tcW w:w="1985"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458,99</w:t>
            </w:r>
          </w:p>
        </w:tc>
      </w:tr>
      <w:tr w:rsidR="00B7714C" w:rsidRPr="00FC724B" w:rsidTr="00F451AB">
        <w:trPr>
          <w:trHeight w:val="315"/>
        </w:trPr>
        <w:tc>
          <w:tcPr>
            <w:tcW w:w="2887" w:type="dxa"/>
            <w:tcBorders>
              <w:top w:val="nil"/>
              <w:left w:val="single" w:sz="4" w:space="0" w:color="auto"/>
              <w:bottom w:val="nil"/>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both"/>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B) Cargos de Natureza Especial</w:t>
            </w:r>
          </w:p>
        </w:tc>
        <w:tc>
          <w:tcPr>
            <w:tcW w:w="171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406,70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386,37</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364,00</w:t>
            </w:r>
          </w:p>
        </w:tc>
        <w:tc>
          <w:tcPr>
            <w:tcW w:w="1985"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321,29</w:t>
            </w:r>
          </w:p>
        </w:tc>
      </w:tr>
      <w:tr w:rsidR="00B7714C" w:rsidRPr="00FC724B" w:rsidTr="00F451AB">
        <w:trPr>
          <w:trHeight w:val="315"/>
        </w:trPr>
        <w:tc>
          <w:tcPr>
            <w:tcW w:w="2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both"/>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C) DAS-6; CD-1; FDS-1 e FDJ-1 do BACEN</w:t>
            </w:r>
          </w:p>
        </w:tc>
        <w:tc>
          <w:tcPr>
            <w:tcW w:w="171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321,10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304,20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287,30</w:t>
            </w:r>
          </w:p>
        </w:tc>
        <w:tc>
          <w:tcPr>
            <w:tcW w:w="1985"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253,50</w:t>
            </w:r>
          </w:p>
        </w:tc>
      </w:tr>
      <w:tr w:rsidR="00B7714C" w:rsidRPr="00FC724B" w:rsidTr="00F451AB">
        <w:trPr>
          <w:trHeight w:val="945"/>
        </w:trPr>
        <w:tc>
          <w:tcPr>
            <w:tcW w:w="288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both"/>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D) DAS-5, DAS-4, DAS-3; CD-2, CD-3, CD-4; FDE-1, FDE-2; FDT-1; FCA-1, FCA-2, FCA-3; FCT1, FCT2; FCT3, GTS1; GTS2; GTS3.</w:t>
            </w:r>
          </w:p>
        </w:tc>
        <w:tc>
          <w:tcPr>
            <w:tcW w:w="171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267,90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253,80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239,70</w:t>
            </w:r>
          </w:p>
        </w:tc>
        <w:tc>
          <w:tcPr>
            <w:tcW w:w="1985"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211,50</w:t>
            </w:r>
          </w:p>
        </w:tc>
      </w:tr>
      <w:tr w:rsidR="00B7714C" w:rsidRPr="00FC724B" w:rsidTr="00F451AB">
        <w:trPr>
          <w:trHeight w:val="630"/>
        </w:trPr>
        <w:tc>
          <w:tcPr>
            <w:tcW w:w="288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both"/>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lastRenderedPageBreak/>
              <w:t>E) DAS-2, DAS-1; FCT4, FCT5, FCT6, FCT7; cargos de nível superior e FCINSS.</w:t>
            </w:r>
          </w:p>
        </w:tc>
        <w:tc>
          <w:tcPr>
            <w:tcW w:w="171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224,20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212,40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200,60</w:t>
            </w:r>
          </w:p>
        </w:tc>
        <w:tc>
          <w:tcPr>
            <w:tcW w:w="1985"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177,00</w:t>
            </w:r>
          </w:p>
        </w:tc>
      </w:tr>
      <w:tr w:rsidR="00B7714C" w:rsidRPr="00FC724B" w:rsidTr="00F451AB">
        <w:trPr>
          <w:trHeight w:val="1575"/>
        </w:trPr>
        <w:tc>
          <w:tcPr>
            <w:tcW w:w="288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both"/>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F) FG-1, FG-2, FG-3; GR; FST-1, FST-2, FST-3 do BACEN; FDO-1, FCA-4, FCA-5 do BACEN; FCT8, FCT9, FCT10, FCT11, FCT12, FCT13, FCT14, FCT15; cargos de nível intermediário e auxiliar</w:t>
            </w:r>
          </w:p>
        </w:tc>
        <w:tc>
          <w:tcPr>
            <w:tcW w:w="171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224,20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212,40</w:t>
            </w:r>
          </w:p>
        </w:tc>
        <w:tc>
          <w:tcPr>
            <w:tcW w:w="170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200,60</w:t>
            </w:r>
          </w:p>
        </w:tc>
        <w:tc>
          <w:tcPr>
            <w:tcW w:w="1985"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7714C" w:rsidRPr="00FC724B" w:rsidRDefault="00B7714C" w:rsidP="00D44C08">
            <w:pPr>
              <w:spacing w:before="100" w:beforeAutospacing="1" w:after="100" w:afterAutospacing="1" w:line="240" w:lineRule="auto"/>
              <w:jc w:val="center"/>
              <w:rPr>
                <w:rFonts w:ascii="Arial" w:eastAsia="Times New Roman" w:hAnsi="Arial" w:cs="Arial"/>
                <w:sz w:val="24"/>
                <w:szCs w:val="24"/>
                <w:lang w:eastAsia="pt-BR"/>
              </w:rPr>
            </w:pPr>
            <w:r w:rsidRPr="00FC724B">
              <w:rPr>
                <w:rFonts w:ascii="Arial" w:eastAsia="Times New Roman" w:hAnsi="Arial" w:cs="Arial"/>
                <w:color w:val="000000"/>
                <w:sz w:val="20"/>
                <w:szCs w:val="20"/>
                <w:lang w:eastAsia="pt-BR"/>
              </w:rPr>
              <w:t>177,00</w:t>
            </w:r>
          </w:p>
        </w:tc>
      </w:tr>
    </w:tbl>
    <w:p w:rsidR="00B7714C" w:rsidRDefault="00B7714C" w:rsidP="003F33E7">
      <w:pPr>
        <w:jc w:val="both"/>
      </w:pPr>
    </w:p>
    <w:p w:rsidR="00B7714C" w:rsidRDefault="00B7714C" w:rsidP="003F33E7">
      <w:pPr>
        <w:jc w:val="both"/>
      </w:pPr>
    </w:p>
    <w:p w:rsidR="00B7714C" w:rsidRDefault="00B7714C" w:rsidP="00B7714C">
      <w:r>
        <w:t>Tabela - Anexo II ao Decreto nº 5.992, de 19 de dezembro de 2006</w:t>
      </w:r>
      <w:proofErr w:type="gramStart"/>
      <w:r>
        <w:t xml:space="preserve">  </w:t>
      </w:r>
      <w:proofErr w:type="gramEnd"/>
      <w:r>
        <w:t>(atualizada pelo Decreto nº 6.907, de 21 de Julho de 2009).</w:t>
      </w:r>
    </w:p>
    <w:tbl>
      <w:tblPr>
        <w:tblStyle w:val="Tabelacomgrade"/>
        <w:tblW w:w="10031" w:type="dxa"/>
        <w:tblLook w:val="04A0"/>
      </w:tblPr>
      <w:tblGrid>
        <w:gridCol w:w="7054"/>
        <w:gridCol w:w="2977"/>
      </w:tblGrid>
      <w:tr w:rsidR="00F451AB" w:rsidTr="00F451AB">
        <w:tc>
          <w:tcPr>
            <w:tcW w:w="7054" w:type="dxa"/>
          </w:tcPr>
          <w:p w:rsidR="00F451AB" w:rsidRPr="00FC724B" w:rsidRDefault="00F451AB" w:rsidP="00D44C08">
            <w:pPr>
              <w:jc w:val="center"/>
              <w:rPr>
                <w:b/>
              </w:rPr>
            </w:pPr>
            <w:r w:rsidRPr="00FC724B">
              <w:rPr>
                <w:b/>
              </w:rPr>
              <w:t>ESPÉCIE</w:t>
            </w:r>
          </w:p>
        </w:tc>
        <w:tc>
          <w:tcPr>
            <w:tcW w:w="2977" w:type="dxa"/>
          </w:tcPr>
          <w:p w:rsidR="00F451AB" w:rsidRPr="00FC724B" w:rsidRDefault="00F451AB" w:rsidP="00D44C08">
            <w:pPr>
              <w:jc w:val="center"/>
              <w:rPr>
                <w:b/>
              </w:rPr>
            </w:pPr>
            <w:r w:rsidRPr="00FC724B">
              <w:rPr>
                <w:b/>
              </w:rPr>
              <w:t>VALOR R$</w:t>
            </w:r>
          </w:p>
          <w:p w:rsidR="00F451AB" w:rsidRPr="00FC724B" w:rsidRDefault="00F451AB" w:rsidP="00D44C08">
            <w:pPr>
              <w:jc w:val="center"/>
              <w:rPr>
                <w:b/>
              </w:rPr>
            </w:pPr>
          </w:p>
        </w:tc>
      </w:tr>
      <w:tr w:rsidR="00F451AB" w:rsidTr="00F451AB">
        <w:tc>
          <w:tcPr>
            <w:tcW w:w="7054" w:type="dxa"/>
          </w:tcPr>
          <w:p w:rsidR="00F451AB" w:rsidRDefault="00F451AB" w:rsidP="00D44C08">
            <w:r>
              <w:t>Indenização de que trata o art. 16 da Lei no 8.216/91, e o art. 15 da Lei nº</w:t>
            </w:r>
            <w:proofErr w:type="gramStart"/>
            <w:r>
              <w:t xml:space="preserve">  </w:t>
            </w:r>
            <w:proofErr w:type="gramEnd"/>
            <w:r>
              <w:t>8.270/91.</w:t>
            </w:r>
          </w:p>
          <w:p w:rsidR="00F451AB" w:rsidRDefault="00F451AB" w:rsidP="00D44C08"/>
        </w:tc>
        <w:tc>
          <w:tcPr>
            <w:tcW w:w="2977" w:type="dxa"/>
          </w:tcPr>
          <w:p w:rsidR="00F451AB" w:rsidRDefault="00F451AB" w:rsidP="00D44C08">
            <w:pPr>
              <w:jc w:val="center"/>
            </w:pPr>
            <w:r>
              <w:t>45,00</w:t>
            </w:r>
          </w:p>
          <w:p w:rsidR="00F451AB" w:rsidRDefault="00F451AB" w:rsidP="00D44C08">
            <w:pPr>
              <w:jc w:val="center"/>
            </w:pPr>
          </w:p>
        </w:tc>
      </w:tr>
      <w:tr w:rsidR="00F451AB" w:rsidTr="00F451AB">
        <w:tc>
          <w:tcPr>
            <w:tcW w:w="7054" w:type="dxa"/>
          </w:tcPr>
          <w:p w:rsidR="00F451AB" w:rsidRDefault="00F451AB" w:rsidP="00D44C08">
            <w:r>
              <w:t>Adicional embarque/desembarque</w:t>
            </w:r>
          </w:p>
        </w:tc>
        <w:tc>
          <w:tcPr>
            <w:tcW w:w="2977" w:type="dxa"/>
          </w:tcPr>
          <w:p w:rsidR="00F451AB" w:rsidRDefault="00F451AB" w:rsidP="00D44C08">
            <w:pPr>
              <w:jc w:val="center"/>
            </w:pPr>
            <w:r>
              <w:t>95,00</w:t>
            </w:r>
          </w:p>
          <w:p w:rsidR="00F451AB" w:rsidRDefault="00F451AB" w:rsidP="00D44C08">
            <w:pPr>
              <w:jc w:val="center"/>
            </w:pPr>
          </w:p>
        </w:tc>
      </w:tr>
    </w:tbl>
    <w:p w:rsidR="00B7714C" w:rsidRDefault="00B7714C" w:rsidP="003F33E7">
      <w:pPr>
        <w:jc w:val="both"/>
      </w:pPr>
    </w:p>
    <w:p w:rsidR="00F451AB" w:rsidRDefault="00F451AB" w:rsidP="003F33E7">
      <w:pPr>
        <w:jc w:val="both"/>
      </w:pPr>
    </w:p>
    <w:p w:rsidR="00F451AB" w:rsidRDefault="00F451AB" w:rsidP="00F451AB">
      <w:r>
        <w:t>Valores de Diárias no Exterior (Redação dada pelo Decreto nº 6.576, de 2008)</w:t>
      </w:r>
    </w:p>
    <w:p w:rsidR="00F451AB" w:rsidRDefault="00F451AB" w:rsidP="003F33E7">
      <w:pPr>
        <w:jc w:val="both"/>
      </w:pPr>
    </w:p>
    <w:p w:rsidR="00F451AB" w:rsidRDefault="00F451AB" w:rsidP="003F33E7">
      <w:pPr>
        <w:jc w:val="both"/>
      </w:pPr>
    </w:p>
    <w:p w:rsidR="00F451AB" w:rsidRDefault="00F451AB" w:rsidP="003F33E7">
      <w:pPr>
        <w:jc w:val="both"/>
      </w:pPr>
    </w:p>
    <w:tbl>
      <w:tblPr>
        <w:tblStyle w:val="Tabelacomgrade"/>
        <w:tblW w:w="0" w:type="auto"/>
        <w:tblLook w:val="04A0"/>
      </w:tblPr>
      <w:tblGrid>
        <w:gridCol w:w="392"/>
        <w:gridCol w:w="4252"/>
        <w:gridCol w:w="1134"/>
        <w:gridCol w:w="993"/>
        <w:gridCol w:w="1134"/>
        <w:gridCol w:w="1134"/>
        <w:gridCol w:w="992"/>
      </w:tblGrid>
      <w:tr w:rsidR="00F451AB" w:rsidTr="00F451AB">
        <w:tc>
          <w:tcPr>
            <w:tcW w:w="392" w:type="dxa"/>
          </w:tcPr>
          <w:p w:rsidR="00F451AB" w:rsidRDefault="00F451AB" w:rsidP="00D44C08"/>
        </w:tc>
        <w:tc>
          <w:tcPr>
            <w:tcW w:w="4252" w:type="dxa"/>
          </w:tcPr>
          <w:p w:rsidR="00F451AB" w:rsidRPr="000D0DA7" w:rsidRDefault="00F451AB" w:rsidP="00D44C08">
            <w:pPr>
              <w:jc w:val="center"/>
              <w:rPr>
                <w:b/>
              </w:rPr>
            </w:pPr>
            <w:r w:rsidRPr="000D0DA7">
              <w:rPr>
                <w:b/>
              </w:rPr>
              <w:t>GRUPOS/PAÍSES</w:t>
            </w:r>
          </w:p>
        </w:tc>
        <w:tc>
          <w:tcPr>
            <w:tcW w:w="1134" w:type="dxa"/>
          </w:tcPr>
          <w:p w:rsidR="00F451AB" w:rsidRPr="000D0DA7" w:rsidRDefault="00F451AB" w:rsidP="00D44C08">
            <w:pPr>
              <w:jc w:val="center"/>
              <w:rPr>
                <w:b/>
              </w:rPr>
            </w:pPr>
            <w:r w:rsidRPr="000D0DA7">
              <w:rPr>
                <w:b/>
              </w:rPr>
              <w:t>Classe I</w:t>
            </w:r>
          </w:p>
        </w:tc>
        <w:tc>
          <w:tcPr>
            <w:tcW w:w="993" w:type="dxa"/>
          </w:tcPr>
          <w:p w:rsidR="00F451AB" w:rsidRPr="000D0DA7" w:rsidRDefault="00F451AB" w:rsidP="00D44C08">
            <w:pPr>
              <w:jc w:val="center"/>
              <w:rPr>
                <w:b/>
              </w:rPr>
            </w:pPr>
            <w:r w:rsidRPr="000D0DA7">
              <w:rPr>
                <w:b/>
              </w:rPr>
              <w:t>Classe II</w:t>
            </w:r>
          </w:p>
        </w:tc>
        <w:tc>
          <w:tcPr>
            <w:tcW w:w="1134" w:type="dxa"/>
          </w:tcPr>
          <w:p w:rsidR="00F451AB" w:rsidRPr="000D0DA7" w:rsidRDefault="00F451AB" w:rsidP="00D44C08">
            <w:pPr>
              <w:jc w:val="center"/>
              <w:rPr>
                <w:b/>
              </w:rPr>
            </w:pPr>
            <w:r w:rsidRPr="000D0DA7">
              <w:rPr>
                <w:b/>
              </w:rPr>
              <w:t>Classe III</w:t>
            </w:r>
          </w:p>
        </w:tc>
        <w:tc>
          <w:tcPr>
            <w:tcW w:w="1134" w:type="dxa"/>
          </w:tcPr>
          <w:p w:rsidR="00F451AB" w:rsidRPr="000D0DA7" w:rsidRDefault="00F451AB" w:rsidP="00D44C08">
            <w:pPr>
              <w:jc w:val="center"/>
              <w:rPr>
                <w:b/>
              </w:rPr>
            </w:pPr>
            <w:r w:rsidRPr="000D0DA7">
              <w:rPr>
                <w:b/>
              </w:rPr>
              <w:t>Classe IV</w:t>
            </w:r>
          </w:p>
        </w:tc>
        <w:tc>
          <w:tcPr>
            <w:tcW w:w="992" w:type="dxa"/>
          </w:tcPr>
          <w:p w:rsidR="00F451AB" w:rsidRPr="000D0DA7" w:rsidRDefault="00F451AB" w:rsidP="00D44C08">
            <w:pPr>
              <w:jc w:val="center"/>
              <w:rPr>
                <w:b/>
              </w:rPr>
            </w:pPr>
            <w:r w:rsidRPr="000D0DA7">
              <w:rPr>
                <w:b/>
              </w:rPr>
              <w:t>Classe V</w:t>
            </w:r>
          </w:p>
        </w:tc>
      </w:tr>
      <w:tr w:rsidR="00F451AB" w:rsidTr="00F451AB">
        <w:tc>
          <w:tcPr>
            <w:tcW w:w="392" w:type="dxa"/>
          </w:tcPr>
          <w:p w:rsidR="00F451AB" w:rsidRDefault="00F451AB" w:rsidP="00D44C08">
            <w:r>
              <w:t>A</w:t>
            </w:r>
          </w:p>
        </w:tc>
        <w:tc>
          <w:tcPr>
            <w:tcW w:w="4252" w:type="dxa"/>
          </w:tcPr>
          <w:p w:rsidR="00F451AB" w:rsidRPr="000D0DA7" w:rsidRDefault="00F451AB" w:rsidP="00D44C08">
            <w:pPr>
              <w:jc w:val="both"/>
            </w:pPr>
            <w:r w:rsidRPr="000D0DA7">
              <w:rPr>
                <w:rFonts w:cs="Arial"/>
                <w:color w:val="000000"/>
              </w:rPr>
              <w:t xml:space="preserve">Afeganistão, Armênia, Bangladesh, Belarus, Benin, Bolívia, </w:t>
            </w:r>
            <w:proofErr w:type="spellStart"/>
            <w:r w:rsidRPr="000D0DA7">
              <w:rPr>
                <w:rFonts w:cs="Arial"/>
                <w:color w:val="000000"/>
              </w:rPr>
              <w:t>Burkina-Fasso</w:t>
            </w:r>
            <w:proofErr w:type="spellEnd"/>
            <w:r w:rsidRPr="000D0DA7">
              <w:rPr>
                <w:rFonts w:cs="Arial"/>
                <w:color w:val="000000"/>
              </w:rPr>
              <w:t xml:space="preserve">, Butão, Chile, </w:t>
            </w:r>
            <w:proofErr w:type="spellStart"/>
            <w:r w:rsidRPr="000D0DA7">
              <w:rPr>
                <w:rFonts w:cs="Arial"/>
                <w:color w:val="000000"/>
              </w:rPr>
              <w:t>Comores</w:t>
            </w:r>
            <w:proofErr w:type="spellEnd"/>
            <w:r w:rsidRPr="000D0DA7">
              <w:rPr>
                <w:rFonts w:cs="Arial"/>
                <w:color w:val="000000"/>
              </w:rPr>
              <w:t xml:space="preserve">, República Popular Democrática da Coréia, Costa Rica, El Salvador, Equador, Eslovênia, Filipinas, Gâmbia, Guiana, Guiné Bissau, Guiné, Honduras, Indonésia, Irã, Iraque, Laos, Líbano, Malásia, Maldivas, Marrocos, Mongólia, </w:t>
            </w:r>
            <w:proofErr w:type="spellStart"/>
            <w:r w:rsidRPr="000D0DA7">
              <w:rPr>
                <w:rFonts w:cs="Arial"/>
                <w:color w:val="000000"/>
              </w:rPr>
              <w:t>Myanmar</w:t>
            </w:r>
            <w:proofErr w:type="spellEnd"/>
            <w:r w:rsidRPr="000D0DA7">
              <w:rPr>
                <w:rFonts w:cs="Arial"/>
                <w:color w:val="000000"/>
              </w:rPr>
              <w:t xml:space="preserve">, Namíbia, Nauru, Nepal, Nicarágua, Panamá, Paraguai, Rep. </w:t>
            </w:r>
            <w:proofErr w:type="gramStart"/>
            <w:r w:rsidRPr="000D0DA7">
              <w:rPr>
                <w:rFonts w:cs="Arial"/>
                <w:color w:val="000000"/>
              </w:rPr>
              <w:t>Centro Africana</w:t>
            </w:r>
            <w:proofErr w:type="gramEnd"/>
            <w:r w:rsidRPr="000D0DA7">
              <w:rPr>
                <w:rFonts w:cs="Arial"/>
                <w:color w:val="000000"/>
              </w:rPr>
              <w:t xml:space="preserve">, República Togolesa, Salomão, Samoa,  Serra Leoa, Síria, Somália, </w:t>
            </w:r>
            <w:proofErr w:type="spellStart"/>
            <w:r w:rsidRPr="000D0DA7">
              <w:rPr>
                <w:rFonts w:cs="Arial"/>
                <w:color w:val="000000"/>
              </w:rPr>
              <w:t>Sri</w:t>
            </w:r>
            <w:proofErr w:type="spellEnd"/>
            <w:r w:rsidRPr="000D0DA7">
              <w:rPr>
                <w:rFonts w:cs="Arial"/>
                <w:color w:val="000000"/>
              </w:rPr>
              <w:t xml:space="preserve"> </w:t>
            </w:r>
            <w:proofErr w:type="spellStart"/>
            <w:r w:rsidRPr="000D0DA7">
              <w:rPr>
                <w:rFonts w:cs="Arial"/>
                <w:color w:val="000000"/>
              </w:rPr>
              <w:t>Lanka</w:t>
            </w:r>
            <w:proofErr w:type="spellEnd"/>
            <w:r w:rsidRPr="000D0DA7">
              <w:rPr>
                <w:rFonts w:cs="Arial"/>
                <w:color w:val="000000"/>
              </w:rPr>
              <w:t>, Suriname, Tadjiquistão, Tailândia, Timor Leste, Tonga, Tunísia, Turcomenistão, Turquia, Tuvalu, Vietnã, Zimbábue.</w:t>
            </w:r>
          </w:p>
        </w:tc>
        <w:tc>
          <w:tcPr>
            <w:tcW w:w="1134" w:type="dxa"/>
          </w:tcPr>
          <w:p w:rsidR="00F451AB" w:rsidRDefault="00F451AB" w:rsidP="00D44C08">
            <w:pPr>
              <w:jc w:val="center"/>
            </w:pPr>
            <w:r w:rsidRPr="00415D2F">
              <w:t>220</w:t>
            </w:r>
          </w:p>
        </w:tc>
        <w:tc>
          <w:tcPr>
            <w:tcW w:w="993" w:type="dxa"/>
          </w:tcPr>
          <w:p w:rsidR="00F451AB" w:rsidRDefault="00F451AB" w:rsidP="00D44C08">
            <w:pPr>
              <w:jc w:val="center"/>
            </w:pPr>
            <w:r w:rsidRPr="00415D2F">
              <w:t>200</w:t>
            </w:r>
          </w:p>
        </w:tc>
        <w:tc>
          <w:tcPr>
            <w:tcW w:w="1134" w:type="dxa"/>
          </w:tcPr>
          <w:p w:rsidR="00F451AB" w:rsidRDefault="00F451AB" w:rsidP="00D44C08">
            <w:pPr>
              <w:jc w:val="center"/>
            </w:pPr>
            <w:r w:rsidRPr="00415D2F">
              <w:t>190</w:t>
            </w:r>
          </w:p>
        </w:tc>
        <w:tc>
          <w:tcPr>
            <w:tcW w:w="1134" w:type="dxa"/>
          </w:tcPr>
          <w:p w:rsidR="00F451AB" w:rsidRDefault="00F451AB" w:rsidP="00D44C08">
            <w:pPr>
              <w:jc w:val="center"/>
            </w:pPr>
            <w:r w:rsidRPr="00415D2F">
              <w:t>180</w:t>
            </w:r>
          </w:p>
        </w:tc>
        <w:tc>
          <w:tcPr>
            <w:tcW w:w="992" w:type="dxa"/>
          </w:tcPr>
          <w:p w:rsidR="00F451AB" w:rsidRDefault="00F451AB" w:rsidP="00D44C08">
            <w:pPr>
              <w:jc w:val="center"/>
            </w:pPr>
            <w:r w:rsidRPr="00415D2F">
              <w:t>170</w:t>
            </w:r>
          </w:p>
        </w:tc>
      </w:tr>
      <w:tr w:rsidR="00F451AB" w:rsidTr="00F451AB">
        <w:tc>
          <w:tcPr>
            <w:tcW w:w="392" w:type="dxa"/>
          </w:tcPr>
          <w:p w:rsidR="00F451AB" w:rsidRDefault="00F451AB" w:rsidP="00D44C08">
            <w:r>
              <w:t>B</w:t>
            </w:r>
          </w:p>
        </w:tc>
        <w:tc>
          <w:tcPr>
            <w:tcW w:w="4252" w:type="dxa"/>
          </w:tcPr>
          <w:p w:rsidR="00F451AB" w:rsidRPr="000D0DA7" w:rsidRDefault="00F451AB" w:rsidP="00D44C08">
            <w:pPr>
              <w:jc w:val="both"/>
            </w:pPr>
            <w:r w:rsidRPr="000D0DA7">
              <w:rPr>
                <w:rFonts w:cs="Arial"/>
                <w:color w:val="000000"/>
              </w:rPr>
              <w:t xml:space="preserve">África do Sul, Albânia, Andorra, Argélia, Argentina, Austrália, Belize, </w:t>
            </w:r>
            <w:proofErr w:type="spellStart"/>
            <w:r w:rsidRPr="000D0DA7">
              <w:rPr>
                <w:rFonts w:cs="Arial"/>
                <w:color w:val="000000"/>
              </w:rPr>
              <w:t>Bósnia-Herzegóvina</w:t>
            </w:r>
            <w:proofErr w:type="spellEnd"/>
            <w:r w:rsidRPr="000D0DA7">
              <w:rPr>
                <w:rFonts w:cs="Arial"/>
                <w:color w:val="000000"/>
              </w:rPr>
              <w:t xml:space="preserve">, Burundi, Cabo Verde, Camarões, Camboja, Catar, Chade, China, </w:t>
            </w:r>
            <w:r w:rsidRPr="000D0DA7">
              <w:rPr>
                <w:rFonts w:cs="Arial"/>
                <w:color w:val="000000"/>
              </w:rPr>
              <w:lastRenderedPageBreak/>
              <w:t>Chipre, Colômbia,  Dominica, Egito, Eritréia, Estônia, Etiópia, Gana, Geórgia, Guiné- Equatorial, Haiti, Hungria, Iêmen, Ilhas Marshall, Índia, Kiribati, Lesoto, Líbia, Macedônia, Madagascar, Malauí, Micronésia, Moçambique, Moldávia, Níger, Nigéria, Nova Zelândia, Palau, Papua Nova Guiné, Paquistão, Peru, Polônia, Quênia, República Dominicana, República Eslovaca, Romênia, Ruanda, São Tomé e Príncipe, Senegal, Sudão, Tanzânia, Uruguai, Uzbequistão, Venezuela.</w:t>
            </w:r>
          </w:p>
        </w:tc>
        <w:tc>
          <w:tcPr>
            <w:tcW w:w="1134" w:type="dxa"/>
          </w:tcPr>
          <w:p w:rsidR="00F451AB" w:rsidRDefault="00F451AB" w:rsidP="00D44C08">
            <w:pPr>
              <w:jc w:val="center"/>
            </w:pPr>
            <w:r w:rsidRPr="00846B30">
              <w:lastRenderedPageBreak/>
              <w:t>300</w:t>
            </w:r>
          </w:p>
        </w:tc>
        <w:tc>
          <w:tcPr>
            <w:tcW w:w="993" w:type="dxa"/>
          </w:tcPr>
          <w:p w:rsidR="00F451AB" w:rsidRDefault="00F451AB" w:rsidP="00D44C08">
            <w:pPr>
              <w:jc w:val="center"/>
            </w:pPr>
            <w:r w:rsidRPr="00846B30">
              <w:t>280</w:t>
            </w:r>
          </w:p>
        </w:tc>
        <w:tc>
          <w:tcPr>
            <w:tcW w:w="1134" w:type="dxa"/>
          </w:tcPr>
          <w:p w:rsidR="00F451AB" w:rsidRDefault="00F451AB" w:rsidP="00D44C08">
            <w:pPr>
              <w:jc w:val="center"/>
            </w:pPr>
            <w:r w:rsidRPr="00846B30">
              <w:t>270</w:t>
            </w:r>
          </w:p>
        </w:tc>
        <w:tc>
          <w:tcPr>
            <w:tcW w:w="1134" w:type="dxa"/>
          </w:tcPr>
          <w:p w:rsidR="00F451AB" w:rsidRDefault="00F451AB" w:rsidP="00D44C08">
            <w:pPr>
              <w:jc w:val="center"/>
            </w:pPr>
            <w:r w:rsidRPr="00846B30">
              <w:t>260</w:t>
            </w:r>
          </w:p>
        </w:tc>
        <w:tc>
          <w:tcPr>
            <w:tcW w:w="992" w:type="dxa"/>
          </w:tcPr>
          <w:p w:rsidR="00F451AB" w:rsidRDefault="00F451AB" w:rsidP="00D44C08">
            <w:pPr>
              <w:jc w:val="center"/>
            </w:pPr>
            <w:r w:rsidRPr="00846B30">
              <w:t>250</w:t>
            </w:r>
          </w:p>
        </w:tc>
      </w:tr>
      <w:tr w:rsidR="00F451AB" w:rsidTr="00F451AB">
        <w:tc>
          <w:tcPr>
            <w:tcW w:w="392" w:type="dxa"/>
          </w:tcPr>
          <w:p w:rsidR="00F451AB" w:rsidRDefault="00F451AB" w:rsidP="00D44C08">
            <w:r>
              <w:lastRenderedPageBreak/>
              <w:t>C</w:t>
            </w:r>
          </w:p>
        </w:tc>
        <w:tc>
          <w:tcPr>
            <w:tcW w:w="4252" w:type="dxa"/>
          </w:tcPr>
          <w:p w:rsidR="00F451AB" w:rsidRPr="000D0DA7" w:rsidRDefault="00F451AB" w:rsidP="00D44C08">
            <w:pPr>
              <w:jc w:val="both"/>
            </w:pPr>
            <w:proofErr w:type="spellStart"/>
            <w:r w:rsidRPr="000D0DA7">
              <w:rPr>
                <w:rFonts w:cs="Arial"/>
                <w:color w:val="000000"/>
              </w:rPr>
              <w:t>Antígua</w:t>
            </w:r>
            <w:proofErr w:type="spellEnd"/>
            <w:r w:rsidRPr="000D0DA7">
              <w:rPr>
                <w:rFonts w:cs="Arial"/>
                <w:color w:val="000000"/>
              </w:rPr>
              <w:t xml:space="preserve"> e Barbuda, Arábia Saudita, Azerbaidjão, Bahamas, </w:t>
            </w:r>
            <w:proofErr w:type="spellStart"/>
            <w:r w:rsidRPr="000D0DA7">
              <w:rPr>
                <w:rFonts w:cs="Arial"/>
                <w:color w:val="000000"/>
              </w:rPr>
              <w:t>Bareine</w:t>
            </w:r>
            <w:proofErr w:type="spellEnd"/>
            <w:r w:rsidRPr="000D0DA7">
              <w:rPr>
                <w:rFonts w:cs="Arial"/>
                <w:color w:val="000000"/>
              </w:rPr>
              <w:t xml:space="preserve">, Botsuana, Brunei </w:t>
            </w:r>
            <w:proofErr w:type="spellStart"/>
            <w:r w:rsidRPr="000D0DA7">
              <w:rPr>
                <w:rFonts w:cs="Arial"/>
                <w:color w:val="000000"/>
              </w:rPr>
              <w:t>Darussalam</w:t>
            </w:r>
            <w:proofErr w:type="spellEnd"/>
            <w:r w:rsidRPr="000D0DA7">
              <w:rPr>
                <w:rFonts w:cs="Arial"/>
                <w:color w:val="000000"/>
              </w:rPr>
              <w:t xml:space="preserve">, Bulgária, Canadá, Cingapura, Congo, Costa do Marfim, Cuba, Djibuti, Emirados Árabes, Fiji, Gabão, Guatemala, Jamaica, Jordânia, Letônia, Libéria, Lituânia, Mali, Malta, Maurício, Mauritânia, México, República Democrática do Congo, República Tcheca, Rússia, </w:t>
            </w:r>
            <w:proofErr w:type="spellStart"/>
            <w:r w:rsidRPr="000D0DA7">
              <w:rPr>
                <w:rFonts w:cs="Arial"/>
                <w:color w:val="000000"/>
              </w:rPr>
              <w:t>San</w:t>
            </w:r>
            <w:proofErr w:type="spellEnd"/>
            <w:r w:rsidRPr="000D0DA7">
              <w:rPr>
                <w:rFonts w:cs="Arial"/>
                <w:color w:val="000000"/>
              </w:rPr>
              <w:t xml:space="preserve"> Marino, Santa Lúcia, São Cristovão e </w:t>
            </w:r>
            <w:proofErr w:type="spellStart"/>
            <w:r w:rsidRPr="000D0DA7">
              <w:rPr>
                <w:rFonts w:cs="Arial"/>
                <w:color w:val="000000"/>
              </w:rPr>
              <w:t>Névis</w:t>
            </w:r>
            <w:proofErr w:type="spellEnd"/>
            <w:r w:rsidRPr="000D0DA7">
              <w:rPr>
                <w:rFonts w:cs="Arial"/>
                <w:color w:val="000000"/>
              </w:rPr>
              <w:t>, São Vicente e Granadinas, Taiwan, Trinidad e Tobago, Ucrânia, Uganda, Zâmbia.</w:t>
            </w:r>
          </w:p>
        </w:tc>
        <w:tc>
          <w:tcPr>
            <w:tcW w:w="1134" w:type="dxa"/>
          </w:tcPr>
          <w:p w:rsidR="00F451AB" w:rsidRDefault="00F451AB" w:rsidP="00D44C08">
            <w:pPr>
              <w:jc w:val="center"/>
            </w:pPr>
            <w:r w:rsidRPr="003F54F6">
              <w:t>350</w:t>
            </w:r>
          </w:p>
        </w:tc>
        <w:tc>
          <w:tcPr>
            <w:tcW w:w="993" w:type="dxa"/>
          </w:tcPr>
          <w:p w:rsidR="00F451AB" w:rsidRDefault="00F451AB" w:rsidP="00D44C08">
            <w:pPr>
              <w:jc w:val="center"/>
            </w:pPr>
            <w:r w:rsidRPr="003F54F6">
              <w:t>330</w:t>
            </w:r>
          </w:p>
        </w:tc>
        <w:tc>
          <w:tcPr>
            <w:tcW w:w="1134" w:type="dxa"/>
          </w:tcPr>
          <w:p w:rsidR="00F451AB" w:rsidRDefault="00F451AB" w:rsidP="00D44C08">
            <w:pPr>
              <w:jc w:val="center"/>
            </w:pPr>
            <w:r w:rsidRPr="003F54F6">
              <w:t>320</w:t>
            </w:r>
          </w:p>
        </w:tc>
        <w:tc>
          <w:tcPr>
            <w:tcW w:w="1134" w:type="dxa"/>
          </w:tcPr>
          <w:p w:rsidR="00F451AB" w:rsidRDefault="00F451AB" w:rsidP="00D44C08">
            <w:pPr>
              <w:jc w:val="center"/>
            </w:pPr>
            <w:r w:rsidRPr="003F54F6">
              <w:t>310</w:t>
            </w:r>
          </w:p>
        </w:tc>
        <w:tc>
          <w:tcPr>
            <w:tcW w:w="992" w:type="dxa"/>
          </w:tcPr>
          <w:p w:rsidR="00F451AB" w:rsidRDefault="00F451AB" w:rsidP="00D44C08">
            <w:pPr>
              <w:jc w:val="center"/>
            </w:pPr>
            <w:r w:rsidRPr="003F54F6">
              <w:t>300</w:t>
            </w:r>
          </w:p>
        </w:tc>
      </w:tr>
      <w:tr w:rsidR="00F451AB" w:rsidTr="00F451AB">
        <w:tc>
          <w:tcPr>
            <w:tcW w:w="392" w:type="dxa"/>
          </w:tcPr>
          <w:p w:rsidR="00F451AB" w:rsidRDefault="00F451AB" w:rsidP="00D44C08">
            <w:r>
              <w:t>D</w:t>
            </w:r>
          </w:p>
        </w:tc>
        <w:tc>
          <w:tcPr>
            <w:tcW w:w="4252" w:type="dxa"/>
          </w:tcPr>
          <w:p w:rsidR="00F451AB" w:rsidRPr="000D0DA7" w:rsidRDefault="00F451AB" w:rsidP="00D44C08">
            <w:pPr>
              <w:jc w:val="both"/>
              <w:rPr>
                <w:rFonts w:cs="Arial"/>
                <w:color w:val="000000"/>
              </w:rPr>
            </w:pPr>
            <w:r w:rsidRPr="000D0DA7">
              <w:rPr>
                <w:rFonts w:cs="Arial"/>
                <w:color w:val="000000"/>
              </w:rPr>
              <w:t xml:space="preserve">Alemanha, Angola, Áustria, Barbados, Bélgica, Cazaquistão, Coréia do Sul, Croácia, Dinamarca, Espanha, Estados Unidos da América, Finlândia, França, Granada, Grécia, </w:t>
            </w:r>
            <w:proofErr w:type="spellStart"/>
            <w:r w:rsidRPr="000D0DA7">
              <w:rPr>
                <w:rFonts w:cs="Arial"/>
                <w:color w:val="000000"/>
              </w:rPr>
              <w:t>Hong</w:t>
            </w:r>
            <w:proofErr w:type="spellEnd"/>
            <w:r w:rsidRPr="000D0DA7">
              <w:rPr>
                <w:rFonts w:cs="Arial"/>
                <w:color w:val="000000"/>
              </w:rPr>
              <w:t xml:space="preserve"> Kong, Irlanda, Islândia, Israel, Itália, Japão, </w:t>
            </w:r>
            <w:proofErr w:type="spellStart"/>
            <w:r w:rsidRPr="000D0DA7">
              <w:rPr>
                <w:rFonts w:cs="Arial"/>
                <w:color w:val="000000"/>
              </w:rPr>
              <w:t>Kuaite</w:t>
            </w:r>
            <w:proofErr w:type="spellEnd"/>
            <w:r w:rsidRPr="000D0DA7">
              <w:rPr>
                <w:rFonts w:cs="Arial"/>
                <w:color w:val="000000"/>
              </w:rPr>
              <w:t>, Liechtenstein, Luxemburgo, Mônaco, Montenegro, Noruega, Omã, Países Baixos, Portugal, Reino Unido, República Quirguiz, Seicheles, Sérvia, Suazilândia, Suécia, Suíça, Vanuatu. </w:t>
            </w:r>
          </w:p>
        </w:tc>
        <w:tc>
          <w:tcPr>
            <w:tcW w:w="1134" w:type="dxa"/>
          </w:tcPr>
          <w:p w:rsidR="00F451AB" w:rsidRDefault="00F451AB" w:rsidP="00D44C08">
            <w:pPr>
              <w:jc w:val="center"/>
            </w:pPr>
            <w:r w:rsidRPr="006F4ED4">
              <w:t>460</w:t>
            </w:r>
          </w:p>
        </w:tc>
        <w:tc>
          <w:tcPr>
            <w:tcW w:w="993" w:type="dxa"/>
          </w:tcPr>
          <w:p w:rsidR="00F451AB" w:rsidRDefault="00F451AB" w:rsidP="00D44C08">
            <w:pPr>
              <w:jc w:val="center"/>
            </w:pPr>
            <w:r w:rsidRPr="006F4ED4">
              <w:t>420</w:t>
            </w:r>
          </w:p>
        </w:tc>
        <w:tc>
          <w:tcPr>
            <w:tcW w:w="1134" w:type="dxa"/>
          </w:tcPr>
          <w:p w:rsidR="00F451AB" w:rsidRDefault="00F451AB" w:rsidP="00D44C08">
            <w:pPr>
              <w:jc w:val="center"/>
            </w:pPr>
            <w:r w:rsidRPr="006F4ED4">
              <w:t>390</w:t>
            </w:r>
          </w:p>
        </w:tc>
        <w:tc>
          <w:tcPr>
            <w:tcW w:w="1134" w:type="dxa"/>
          </w:tcPr>
          <w:p w:rsidR="00F451AB" w:rsidRDefault="00F451AB" w:rsidP="00D44C08">
            <w:pPr>
              <w:jc w:val="center"/>
            </w:pPr>
            <w:r w:rsidRPr="006F4ED4">
              <w:t>370</w:t>
            </w:r>
          </w:p>
        </w:tc>
        <w:tc>
          <w:tcPr>
            <w:tcW w:w="992" w:type="dxa"/>
          </w:tcPr>
          <w:p w:rsidR="00F451AB" w:rsidRDefault="00F451AB" w:rsidP="00D44C08">
            <w:pPr>
              <w:jc w:val="center"/>
            </w:pPr>
            <w:r w:rsidRPr="006F4ED4">
              <w:t>350</w:t>
            </w:r>
          </w:p>
        </w:tc>
      </w:tr>
    </w:tbl>
    <w:p w:rsidR="00B7714C" w:rsidRDefault="00B7714C" w:rsidP="003F33E7">
      <w:pPr>
        <w:jc w:val="both"/>
      </w:pPr>
    </w:p>
    <w:sectPr w:rsidR="00B7714C" w:rsidSect="00A73F83">
      <w:pgSz w:w="11906" w:h="16838"/>
      <w:pgMar w:top="1134"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CD7"/>
    <w:multiLevelType w:val="hybridMultilevel"/>
    <w:tmpl w:val="AACA82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254740"/>
    <w:multiLevelType w:val="hybridMultilevel"/>
    <w:tmpl w:val="3EE441E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20546C46"/>
    <w:multiLevelType w:val="hybridMultilevel"/>
    <w:tmpl w:val="5A365A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BB221C"/>
    <w:multiLevelType w:val="hybridMultilevel"/>
    <w:tmpl w:val="39F6DB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2452510"/>
    <w:multiLevelType w:val="hybridMultilevel"/>
    <w:tmpl w:val="41F831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742DB9"/>
    <w:multiLevelType w:val="hybridMultilevel"/>
    <w:tmpl w:val="A27E52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D086B31"/>
    <w:multiLevelType w:val="hybridMultilevel"/>
    <w:tmpl w:val="0C4860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E9B55EA"/>
    <w:multiLevelType w:val="hybridMultilevel"/>
    <w:tmpl w:val="5A365A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FB93DE3"/>
    <w:multiLevelType w:val="hybridMultilevel"/>
    <w:tmpl w:val="5D420F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576844"/>
    <w:multiLevelType w:val="multilevel"/>
    <w:tmpl w:val="B9FEE01A"/>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6DA94D79"/>
    <w:multiLevelType w:val="multilevel"/>
    <w:tmpl w:val="CAD49B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10"/>
  </w:num>
  <w:num w:numId="3">
    <w:abstractNumId w:val="5"/>
  </w:num>
  <w:num w:numId="4">
    <w:abstractNumId w:val="0"/>
  </w:num>
  <w:num w:numId="5">
    <w:abstractNumId w:val="8"/>
  </w:num>
  <w:num w:numId="6">
    <w:abstractNumId w:val="6"/>
  </w:num>
  <w:num w:numId="7">
    <w:abstractNumId w:val="7"/>
  </w:num>
  <w:num w:numId="8">
    <w:abstractNumId w:val="2"/>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362"/>
    <w:rsid w:val="00006D87"/>
    <w:rsid w:val="00011953"/>
    <w:rsid w:val="00013507"/>
    <w:rsid w:val="00016AA8"/>
    <w:rsid w:val="0002039F"/>
    <w:rsid w:val="00021A94"/>
    <w:rsid w:val="00030571"/>
    <w:rsid w:val="00035EFE"/>
    <w:rsid w:val="0004301F"/>
    <w:rsid w:val="00047732"/>
    <w:rsid w:val="0007395E"/>
    <w:rsid w:val="000B07D7"/>
    <w:rsid w:val="000C07AA"/>
    <w:rsid w:val="000D7E37"/>
    <w:rsid w:val="000E4489"/>
    <w:rsid w:val="000E6607"/>
    <w:rsid w:val="000F00CC"/>
    <w:rsid w:val="00106A5B"/>
    <w:rsid w:val="00131B7F"/>
    <w:rsid w:val="00131D81"/>
    <w:rsid w:val="00133F55"/>
    <w:rsid w:val="001A582E"/>
    <w:rsid w:val="001B5629"/>
    <w:rsid w:val="001C625F"/>
    <w:rsid w:val="001D2056"/>
    <w:rsid w:val="002015D4"/>
    <w:rsid w:val="00216B1B"/>
    <w:rsid w:val="00252CAF"/>
    <w:rsid w:val="002537B4"/>
    <w:rsid w:val="00267A3F"/>
    <w:rsid w:val="00284174"/>
    <w:rsid w:val="002B35F5"/>
    <w:rsid w:val="002B7C0D"/>
    <w:rsid w:val="002D6D06"/>
    <w:rsid w:val="00351273"/>
    <w:rsid w:val="00360486"/>
    <w:rsid w:val="003644E4"/>
    <w:rsid w:val="00382FF6"/>
    <w:rsid w:val="003A3DEA"/>
    <w:rsid w:val="003C3155"/>
    <w:rsid w:val="003E5BEB"/>
    <w:rsid w:val="003E7773"/>
    <w:rsid w:val="003F1258"/>
    <w:rsid w:val="003F33E7"/>
    <w:rsid w:val="00402E89"/>
    <w:rsid w:val="004042A4"/>
    <w:rsid w:val="00421110"/>
    <w:rsid w:val="00433FD0"/>
    <w:rsid w:val="00446A66"/>
    <w:rsid w:val="00450786"/>
    <w:rsid w:val="0045158B"/>
    <w:rsid w:val="00456570"/>
    <w:rsid w:val="00475C1D"/>
    <w:rsid w:val="00493D8A"/>
    <w:rsid w:val="004A158B"/>
    <w:rsid w:val="004B2745"/>
    <w:rsid w:val="004C0362"/>
    <w:rsid w:val="00502439"/>
    <w:rsid w:val="0053136F"/>
    <w:rsid w:val="005566F5"/>
    <w:rsid w:val="00556902"/>
    <w:rsid w:val="005600F2"/>
    <w:rsid w:val="00593563"/>
    <w:rsid w:val="00595D87"/>
    <w:rsid w:val="005A094D"/>
    <w:rsid w:val="005B10C5"/>
    <w:rsid w:val="005D2153"/>
    <w:rsid w:val="005E3810"/>
    <w:rsid w:val="00601B0F"/>
    <w:rsid w:val="00620AD6"/>
    <w:rsid w:val="00622B58"/>
    <w:rsid w:val="00637E08"/>
    <w:rsid w:val="00640601"/>
    <w:rsid w:val="00664AFC"/>
    <w:rsid w:val="00664BD7"/>
    <w:rsid w:val="00667EDD"/>
    <w:rsid w:val="006E0183"/>
    <w:rsid w:val="006E107C"/>
    <w:rsid w:val="006E3052"/>
    <w:rsid w:val="006E6199"/>
    <w:rsid w:val="006E7BEC"/>
    <w:rsid w:val="006F5743"/>
    <w:rsid w:val="00712FC4"/>
    <w:rsid w:val="00715A24"/>
    <w:rsid w:val="00735B2F"/>
    <w:rsid w:val="0074662B"/>
    <w:rsid w:val="00754CF8"/>
    <w:rsid w:val="00755F8B"/>
    <w:rsid w:val="00764E2D"/>
    <w:rsid w:val="0079489B"/>
    <w:rsid w:val="007B0D6F"/>
    <w:rsid w:val="007C5606"/>
    <w:rsid w:val="007F1C61"/>
    <w:rsid w:val="007F4C53"/>
    <w:rsid w:val="00806679"/>
    <w:rsid w:val="0082408F"/>
    <w:rsid w:val="0084412A"/>
    <w:rsid w:val="00847E78"/>
    <w:rsid w:val="00914485"/>
    <w:rsid w:val="00915761"/>
    <w:rsid w:val="00917CF2"/>
    <w:rsid w:val="00921F48"/>
    <w:rsid w:val="00971FF4"/>
    <w:rsid w:val="00980FB6"/>
    <w:rsid w:val="009E708F"/>
    <w:rsid w:val="009F6700"/>
    <w:rsid w:val="009F6878"/>
    <w:rsid w:val="00A05E70"/>
    <w:rsid w:val="00A31C49"/>
    <w:rsid w:val="00A54E6F"/>
    <w:rsid w:val="00A60C33"/>
    <w:rsid w:val="00A64607"/>
    <w:rsid w:val="00A64F61"/>
    <w:rsid w:val="00A73F83"/>
    <w:rsid w:val="00A94A37"/>
    <w:rsid w:val="00A97500"/>
    <w:rsid w:val="00AA6CCE"/>
    <w:rsid w:val="00AB4367"/>
    <w:rsid w:val="00AC74E4"/>
    <w:rsid w:val="00AE4018"/>
    <w:rsid w:val="00B01D5B"/>
    <w:rsid w:val="00B242AD"/>
    <w:rsid w:val="00B40C7D"/>
    <w:rsid w:val="00B7714C"/>
    <w:rsid w:val="00B77C06"/>
    <w:rsid w:val="00C05651"/>
    <w:rsid w:val="00C36112"/>
    <w:rsid w:val="00C3781F"/>
    <w:rsid w:val="00C6127D"/>
    <w:rsid w:val="00CB2465"/>
    <w:rsid w:val="00CC4BB8"/>
    <w:rsid w:val="00CC5906"/>
    <w:rsid w:val="00CE24DD"/>
    <w:rsid w:val="00CF7AE0"/>
    <w:rsid w:val="00D0748B"/>
    <w:rsid w:val="00D10758"/>
    <w:rsid w:val="00D21170"/>
    <w:rsid w:val="00D223AA"/>
    <w:rsid w:val="00D33A7B"/>
    <w:rsid w:val="00D37967"/>
    <w:rsid w:val="00D47104"/>
    <w:rsid w:val="00D769F4"/>
    <w:rsid w:val="00D978BC"/>
    <w:rsid w:val="00DC7355"/>
    <w:rsid w:val="00DC7748"/>
    <w:rsid w:val="00DD45CC"/>
    <w:rsid w:val="00DD48FC"/>
    <w:rsid w:val="00DE7267"/>
    <w:rsid w:val="00E10BE1"/>
    <w:rsid w:val="00E23E62"/>
    <w:rsid w:val="00E604FF"/>
    <w:rsid w:val="00E64BCE"/>
    <w:rsid w:val="00E72373"/>
    <w:rsid w:val="00E80541"/>
    <w:rsid w:val="00E82621"/>
    <w:rsid w:val="00E860E1"/>
    <w:rsid w:val="00E90E90"/>
    <w:rsid w:val="00E95394"/>
    <w:rsid w:val="00EA57ED"/>
    <w:rsid w:val="00ED3EA3"/>
    <w:rsid w:val="00EE5075"/>
    <w:rsid w:val="00EF184E"/>
    <w:rsid w:val="00EF2F87"/>
    <w:rsid w:val="00F22FE8"/>
    <w:rsid w:val="00F451AB"/>
    <w:rsid w:val="00F6317E"/>
    <w:rsid w:val="00F73402"/>
    <w:rsid w:val="00F752F9"/>
    <w:rsid w:val="00F82B0F"/>
    <w:rsid w:val="00F90FAB"/>
    <w:rsid w:val="00F94159"/>
    <w:rsid w:val="00FA0736"/>
    <w:rsid w:val="00FB24DA"/>
    <w:rsid w:val="00FB724E"/>
    <w:rsid w:val="00FF54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0362"/>
    <w:pPr>
      <w:ind w:left="720"/>
      <w:contextualSpacing/>
    </w:pPr>
  </w:style>
  <w:style w:type="paragraph" w:styleId="Rodap">
    <w:name w:val="footer"/>
    <w:basedOn w:val="Normal"/>
    <w:link w:val="RodapChar"/>
    <w:rsid w:val="0074662B"/>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74662B"/>
    <w:rPr>
      <w:rFonts w:ascii="Times New Roman" w:eastAsia="Times New Roman" w:hAnsi="Times New Roman" w:cs="Times New Roman"/>
      <w:sz w:val="24"/>
      <w:szCs w:val="24"/>
      <w:lang w:eastAsia="pt-BR"/>
    </w:rPr>
  </w:style>
  <w:style w:type="character" w:styleId="Hyperlink">
    <w:name w:val="Hyperlink"/>
    <w:basedOn w:val="Fontepargpadro"/>
    <w:rsid w:val="0074662B"/>
    <w:rPr>
      <w:color w:val="0000FF"/>
      <w:u w:val="single"/>
    </w:rPr>
  </w:style>
  <w:style w:type="paragraph" w:styleId="Textodebalo">
    <w:name w:val="Balloon Text"/>
    <w:basedOn w:val="Normal"/>
    <w:link w:val="TextodebaloChar"/>
    <w:uiPriority w:val="99"/>
    <w:semiHidden/>
    <w:unhideWhenUsed/>
    <w:rsid w:val="00746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62B"/>
    <w:rPr>
      <w:rFonts w:ascii="Tahoma" w:hAnsi="Tahoma" w:cs="Tahoma"/>
      <w:sz w:val="16"/>
      <w:szCs w:val="16"/>
    </w:rPr>
  </w:style>
  <w:style w:type="table" w:styleId="Tabelacomgrade">
    <w:name w:val="Table Grid"/>
    <w:basedOn w:val="Tabelanormal"/>
    <w:uiPriority w:val="59"/>
    <w:rsid w:val="00F4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2434</Words>
  <Characters>13146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samaro belo barriga</dc:creator>
  <cp:lastModifiedBy>Silviagomes</cp:lastModifiedBy>
  <cp:revision>2</cp:revision>
  <dcterms:created xsi:type="dcterms:W3CDTF">2014-02-06T14:47:00Z</dcterms:created>
  <dcterms:modified xsi:type="dcterms:W3CDTF">2014-02-06T14:47:00Z</dcterms:modified>
</cp:coreProperties>
</file>